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1C" w:rsidRDefault="0088501C" w:rsidP="00885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01C" w:rsidRDefault="0088501C" w:rsidP="00885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01C" w:rsidRDefault="0088501C" w:rsidP="00885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01C" w:rsidRDefault="0088501C" w:rsidP="00885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01C" w:rsidRDefault="0088501C" w:rsidP="00885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01C" w:rsidRDefault="0088501C" w:rsidP="00885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01C" w:rsidRDefault="0088501C" w:rsidP="00885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01C" w:rsidRDefault="0088501C" w:rsidP="00885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01C" w:rsidRDefault="0088501C" w:rsidP="00885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01C" w:rsidRDefault="0088501C" w:rsidP="00885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67A1" w:rsidRDefault="00352BE7" w:rsidP="0088501C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88501C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Дорошко Ольги Євгенівни щодо відповідності Конституції України (конституційності) </w:t>
      </w:r>
      <w:r w:rsidR="00A8456C" w:rsidRPr="0088501C">
        <w:rPr>
          <w:rFonts w:ascii="Times New Roman" w:hAnsi="Times New Roman"/>
          <w:b/>
          <w:sz w:val="28"/>
          <w:szCs w:val="28"/>
        </w:rPr>
        <w:t xml:space="preserve">приписів </w:t>
      </w:r>
      <w:r w:rsidR="0088501C">
        <w:rPr>
          <w:rFonts w:ascii="Times New Roman" w:hAnsi="Times New Roman"/>
          <w:b/>
          <w:sz w:val="28"/>
          <w:szCs w:val="28"/>
        </w:rPr>
        <w:t>пункту 1 частини шостої</w:t>
      </w:r>
      <w:r w:rsidR="0088501C">
        <w:rPr>
          <w:rFonts w:ascii="Times New Roman" w:hAnsi="Times New Roman"/>
          <w:b/>
          <w:sz w:val="28"/>
          <w:szCs w:val="28"/>
        </w:rPr>
        <w:br/>
      </w:r>
      <w:r w:rsidRPr="0088501C">
        <w:rPr>
          <w:rFonts w:ascii="Times New Roman" w:hAnsi="Times New Roman"/>
          <w:b/>
          <w:sz w:val="28"/>
          <w:szCs w:val="28"/>
        </w:rPr>
        <w:t xml:space="preserve">статті 19, пункту 2 частини третьої статті 389 Цивільного </w:t>
      </w:r>
      <w:r w:rsidR="0088501C">
        <w:rPr>
          <w:rFonts w:ascii="Times New Roman" w:hAnsi="Times New Roman"/>
          <w:b/>
          <w:sz w:val="28"/>
          <w:szCs w:val="28"/>
        </w:rPr>
        <w:br/>
      </w:r>
      <w:r w:rsidR="0088501C">
        <w:rPr>
          <w:rFonts w:ascii="Times New Roman" w:hAnsi="Times New Roman"/>
          <w:b/>
          <w:sz w:val="28"/>
          <w:szCs w:val="28"/>
        </w:rPr>
        <w:tab/>
      </w:r>
      <w:r w:rsidR="0088501C">
        <w:rPr>
          <w:rFonts w:ascii="Times New Roman" w:hAnsi="Times New Roman"/>
          <w:b/>
          <w:sz w:val="28"/>
          <w:szCs w:val="28"/>
        </w:rPr>
        <w:tab/>
      </w:r>
      <w:r w:rsidR="00B767A1">
        <w:rPr>
          <w:rFonts w:ascii="Times New Roman" w:hAnsi="Times New Roman"/>
          <w:b/>
          <w:sz w:val="28"/>
          <w:szCs w:val="28"/>
        </w:rPr>
        <w:t xml:space="preserve"> </w:t>
      </w:r>
      <w:r w:rsidRPr="0088501C">
        <w:rPr>
          <w:rFonts w:ascii="Times New Roman" w:hAnsi="Times New Roman"/>
          <w:b/>
          <w:sz w:val="28"/>
          <w:szCs w:val="28"/>
        </w:rPr>
        <w:t>процесуального кодексу України</w:t>
      </w:r>
    </w:p>
    <w:p w:rsidR="00352BE7" w:rsidRDefault="00352BE7" w:rsidP="0088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E7" w:rsidRPr="0088501C" w:rsidRDefault="00352BE7" w:rsidP="0088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 xml:space="preserve">м. К и ї в </w:t>
      </w:r>
      <w:r w:rsidRPr="0088501C">
        <w:rPr>
          <w:rFonts w:ascii="Times New Roman" w:hAnsi="Times New Roman"/>
          <w:sz w:val="28"/>
          <w:szCs w:val="28"/>
        </w:rPr>
        <w:tab/>
      </w:r>
      <w:r w:rsidRPr="0088501C">
        <w:rPr>
          <w:rFonts w:ascii="Times New Roman" w:hAnsi="Times New Roman"/>
          <w:sz w:val="28"/>
          <w:szCs w:val="28"/>
        </w:rPr>
        <w:tab/>
      </w:r>
      <w:r w:rsidRPr="0088501C">
        <w:rPr>
          <w:rFonts w:ascii="Times New Roman" w:hAnsi="Times New Roman"/>
          <w:sz w:val="28"/>
          <w:szCs w:val="28"/>
        </w:rPr>
        <w:tab/>
      </w:r>
      <w:r w:rsidRPr="0088501C">
        <w:rPr>
          <w:rFonts w:ascii="Times New Roman" w:hAnsi="Times New Roman"/>
          <w:sz w:val="28"/>
          <w:szCs w:val="28"/>
        </w:rPr>
        <w:tab/>
      </w:r>
      <w:r w:rsidRPr="0088501C">
        <w:rPr>
          <w:rFonts w:ascii="Times New Roman" w:hAnsi="Times New Roman"/>
          <w:sz w:val="28"/>
          <w:szCs w:val="28"/>
        </w:rPr>
        <w:tab/>
      </w:r>
      <w:r w:rsidRPr="0088501C">
        <w:rPr>
          <w:rFonts w:ascii="Times New Roman" w:hAnsi="Times New Roman"/>
          <w:sz w:val="28"/>
          <w:szCs w:val="28"/>
        </w:rPr>
        <w:tab/>
      </w:r>
      <w:r w:rsidRPr="0088501C">
        <w:rPr>
          <w:rFonts w:ascii="Times New Roman" w:hAnsi="Times New Roman"/>
          <w:sz w:val="28"/>
          <w:szCs w:val="28"/>
        </w:rPr>
        <w:tab/>
        <w:t xml:space="preserve">Справа </w:t>
      </w:r>
      <w:r w:rsidR="00B767A1">
        <w:rPr>
          <w:rFonts w:ascii="Times New Roman" w:hAnsi="Times New Roman"/>
          <w:sz w:val="28"/>
          <w:szCs w:val="28"/>
        </w:rPr>
        <w:t xml:space="preserve">№ </w:t>
      </w:r>
      <w:r w:rsidRPr="0088501C">
        <w:rPr>
          <w:rFonts w:ascii="Times New Roman" w:hAnsi="Times New Roman"/>
          <w:sz w:val="28"/>
          <w:szCs w:val="28"/>
        </w:rPr>
        <w:t>3-62/2021(143/21)</w:t>
      </w:r>
    </w:p>
    <w:p w:rsidR="00352BE7" w:rsidRPr="0088501C" w:rsidRDefault="00E33DD6" w:rsidP="0088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 xml:space="preserve">18 </w:t>
      </w:r>
      <w:r w:rsidR="00352BE7" w:rsidRPr="0088501C">
        <w:rPr>
          <w:rFonts w:ascii="Times New Roman" w:hAnsi="Times New Roman"/>
          <w:sz w:val="28"/>
          <w:szCs w:val="28"/>
        </w:rPr>
        <w:t>травня 2021 року</w:t>
      </w:r>
    </w:p>
    <w:p w:rsidR="00352BE7" w:rsidRPr="0088501C" w:rsidRDefault="00B767A1" w:rsidP="0088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E33DD6" w:rsidRPr="0088501C">
        <w:rPr>
          <w:rFonts w:ascii="Times New Roman" w:hAnsi="Times New Roman"/>
          <w:sz w:val="28"/>
          <w:szCs w:val="28"/>
        </w:rPr>
        <w:t>76</w:t>
      </w:r>
      <w:r w:rsidR="00352BE7" w:rsidRPr="0088501C">
        <w:rPr>
          <w:rFonts w:ascii="Times New Roman" w:hAnsi="Times New Roman"/>
          <w:sz w:val="28"/>
          <w:szCs w:val="28"/>
        </w:rPr>
        <w:t>-2(ІІ)</w:t>
      </w:r>
      <w:bookmarkEnd w:id="0"/>
      <w:r w:rsidR="00352BE7" w:rsidRPr="0088501C">
        <w:rPr>
          <w:rFonts w:ascii="Times New Roman" w:hAnsi="Times New Roman"/>
          <w:sz w:val="28"/>
          <w:szCs w:val="28"/>
        </w:rPr>
        <w:t>/2021</w:t>
      </w:r>
    </w:p>
    <w:p w:rsidR="00352BE7" w:rsidRDefault="00352BE7" w:rsidP="00885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BE7" w:rsidRPr="0088501C" w:rsidRDefault="00352BE7" w:rsidP="00885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352BE7" w:rsidRPr="0088501C" w:rsidRDefault="00352BE7" w:rsidP="00885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E7" w:rsidRPr="0088501C" w:rsidRDefault="00352BE7" w:rsidP="00885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Сліденка Ігоря Дмитровича – головуючого,</w:t>
      </w:r>
    </w:p>
    <w:p w:rsidR="00352BE7" w:rsidRPr="0088501C" w:rsidRDefault="00352BE7" w:rsidP="00885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Головатого Сергія Петровича – доповідача,</w:t>
      </w:r>
    </w:p>
    <w:p w:rsidR="00352BE7" w:rsidRPr="0088501C" w:rsidRDefault="00352BE7" w:rsidP="00885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Лемака Василя Васильовича,</w:t>
      </w:r>
    </w:p>
    <w:p w:rsidR="00352BE7" w:rsidRPr="0088501C" w:rsidRDefault="00352BE7" w:rsidP="00885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E7" w:rsidRPr="0088501C" w:rsidRDefault="00352BE7" w:rsidP="00790891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Дорошко Ольги Євгенівни щодо відповідності Конституції України (конституційності) </w:t>
      </w:r>
      <w:r w:rsidR="00A8456C" w:rsidRPr="0088501C">
        <w:rPr>
          <w:rFonts w:ascii="Times New Roman" w:eastAsia="Times New Roman" w:hAnsi="Times New Roman"/>
          <w:sz w:val="28"/>
          <w:szCs w:val="28"/>
          <w:lang w:eastAsia="uk-UA"/>
        </w:rPr>
        <w:t>приписів</w:t>
      </w:r>
      <w:r w:rsidR="00AE7401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пункту 1 частини шостої статті 19, пункту 2 частини третьої статті 389 Цивільного процесуального кодексу України.</w:t>
      </w:r>
    </w:p>
    <w:p w:rsidR="0088501C" w:rsidRDefault="0088501C" w:rsidP="00790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7A1" w:rsidRDefault="00352BE7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88501C" w:rsidRPr="0088501C" w:rsidRDefault="0088501C" w:rsidP="007908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2BE7" w:rsidRPr="0088501C" w:rsidRDefault="00352BE7" w:rsidP="00790891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88501C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352BE7" w:rsidRPr="0088501C" w:rsidRDefault="00352BE7" w:rsidP="007908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7401" w:rsidRPr="0088501C" w:rsidRDefault="00352BE7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 xml:space="preserve">1. Дорошко </w:t>
      </w:r>
      <w:r w:rsidR="00722622" w:rsidRPr="0088501C">
        <w:rPr>
          <w:rFonts w:ascii="Times New Roman" w:hAnsi="Times New Roman"/>
          <w:sz w:val="28"/>
          <w:szCs w:val="28"/>
        </w:rPr>
        <w:t>Ольга</w:t>
      </w:r>
      <w:r w:rsidRPr="0088501C">
        <w:rPr>
          <w:rFonts w:ascii="Times New Roman" w:hAnsi="Times New Roman"/>
          <w:sz w:val="28"/>
          <w:szCs w:val="28"/>
        </w:rPr>
        <w:t xml:space="preserve"> </w:t>
      </w:r>
      <w:r w:rsidR="00722622" w:rsidRPr="0088501C">
        <w:rPr>
          <w:rFonts w:ascii="Times New Roman" w:hAnsi="Times New Roman"/>
          <w:sz w:val="28"/>
          <w:szCs w:val="28"/>
        </w:rPr>
        <w:t>Євгенівна</w:t>
      </w:r>
      <w:r w:rsidRPr="0088501C">
        <w:rPr>
          <w:rFonts w:ascii="Times New Roman" w:hAnsi="Times New Roman"/>
          <w:sz w:val="28"/>
          <w:szCs w:val="28"/>
        </w:rPr>
        <w:t xml:space="preserve"> як суб’єкт права на конституційну скаргу </w:t>
      </w:r>
      <w:r w:rsidR="007B2A04" w:rsidRPr="0088501C">
        <w:rPr>
          <w:rFonts w:ascii="Times New Roman" w:hAnsi="Times New Roman"/>
          <w:sz w:val="28"/>
          <w:szCs w:val="28"/>
        </w:rPr>
        <w:t xml:space="preserve">(далі – Заявниця) </w:t>
      </w:r>
      <w:r w:rsidRPr="0088501C">
        <w:rPr>
          <w:rFonts w:ascii="Times New Roman" w:hAnsi="Times New Roman"/>
          <w:sz w:val="28"/>
          <w:szCs w:val="28"/>
        </w:rPr>
        <w:t xml:space="preserve">звернулася до Конституційного Суду України з клопотанням </w:t>
      </w:r>
      <w:r w:rsidRPr="0088501C">
        <w:rPr>
          <w:rFonts w:ascii="Times New Roman" w:hAnsi="Times New Roman"/>
          <w:sz w:val="28"/>
          <w:szCs w:val="28"/>
        </w:rPr>
        <w:lastRenderedPageBreak/>
        <w:t xml:space="preserve">(вх. </w:t>
      </w:r>
      <w:r w:rsidR="00B767A1">
        <w:rPr>
          <w:rFonts w:ascii="Times New Roman" w:hAnsi="Times New Roman"/>
          <w:sz w:val="28"/>
          <w:szCs w:val="28"/>
        </w:rPr>
        <w:t xml:space="preserve">№ </w:t>
      </w:r>
      <w:r w:rsidRPr="0088501C">
        <w:rPr>
          <w:rFonts w:ascii="Times New Roman" w:hAnsi="Times New Roman"/>
          <w:sz w:val="28"/>
          <w:szCs w:val="28"/>
        </w:rPr>
        <w:t>18/</w:t>
      </w:r>
      <w:r w:rsidR="00722622" w:rsidRPr="0088501C">
        <w:rPr>
          <w:rFonts w:ascii="Times New Roman" w:hAnsi="Times New Roman"/>
          <w:sz w:val="28"/>
          <w:szCs w:val="28"/>
        </w:rPr>
        <w:t>143</w:t>
      </w:r>
      <w:r w:rsidRPr="0088501C">
        <w:rPr>
          <w:rFonts w:ascii="Times New Roman" w:hAnsi="Times New Roman"/>
          <w:sz w:val="28"/>
          <w:szCs w:val="28"/>
        </w:rPr>
        <w:t xml:space="preserve"> від 1</w:t>
      </w:r>
      <w:r w:rsidR="00722622" w:rsidRPr="0088501C">
        <w:rPr>
          <w:rFonts w:ascii="Times New Roman" w:hAnsi="Times New Roman"/>
          <w:sz w:val="28"/>
          <w:szCs w:val="28"/>
        </w:rPr>
        <w:t>6</w:t>
      </w:r>
      <w:r w:rsidRPr="0088501C">
        <w:rPr>
          <w:rFonts w:ascii="Times New Roman" w:hAnsi="Times New Roman"/>
          <w:sz w:val="28"/>
          <w:szCs w:val="28"/>
        </w:rPr>
        <w:t xml:space="preserve"> </w:t>
      </w:r>
      <w:r w:rsidR="00722622" w:rsidRPr="0088501C">
        <w:rPr>
          <w:rFonts w:ascii="Times New Roman" w:hAnsi="Times New Roman"/>
          <w:sz w:val="28"/>
          <w:szCs w:val="28"/>
        </w:rPr>
        <w:t>квіт</w:t>
      </w:r>
      <w:r w:rsidRPr="0088501C">
        <w:rPr>
          <w:rFonts w:ascii="Times New Roman" w:hAnsi="Times New Roman"/>
          <w:sz w:val="28"/>
          <w:szCs w:val="28"/>
        </w:rPr>
        <w:t xml:space="preserve">ня 2021 року) </w:t>
      </w:r>
      <w:r w:rsidR="00AE7401" w:rsidRPr="0088501C">
        <w:rPr>
          <w:rFonts w:ascii="Times New Roman" w:hAnsi="Times New Roman"/>
          <w:sz w:val="28"/>
          <w:szCs w:val="28"/>
        </w:rPr>
        <w:t>перевірити на відповідність статті 8, частин</w:t>
      </w:r>
      <w:r w:rsidR="00A8456C" w:rsidRPr="0088501C">
        <w:rPr>
          <w:rFonts w:ascii="Times New Roman" w:hAnsi="Times New Roman"/>
          <w:sz w:val="28"/>
          <w:szCs w:val="28"/>
        </w:rPr>
        <w:t>і</w:t>
      </w:r>
      <w:r w:rsidR="00AE7401" w:rsidRPr="0088501C">
        <w:rPr>
          <w:rFonts w:ascii="Times New Roman" w:hAnsi="Times New Roman"/>
          <w:sz w:val="28"/>
          <w:szCs w:val="28"/>
        </w:rPr>
        <w:t xml:space="preserve"> перш</w:t>
      </w:r>
      <w:r w:rsidR="00A8456C" w:rsidRPr="0088501C">
        <w:rPr>
          <w:rFonts w:ascii="Times New Roman" w:hAnsi="Times New Roman"/>
          <w:sz w:val="28"/>
          <w:szCs w:val="28"/>
        </w:rPr>
        <w:t>ій</w:t>
      </w:r>
      <w:r w:rsidR="00AE7401" w:rsidRPr="0088501C">
        <w:rPr>
          <w:rFonts w:ascii="Times New Roman" w:hAnsi="Times New Roman"/>
          <w:sz w:val="28"/>
          <w:szCs w:val="28"/>
        </w:rPr>
        <w:t xml:space="preserve"> статті 9, частин</w:t>
      </w:r>
      <w:r w:rsidR="00A8456C" w:rsidRPr="0088501C">
        <w:rPr>
          <w:rFonts w:ascii="Times New Roman" w:hAnsi="Times New Roman"/>
          <w:sz w:val="28"/>
          <w:szCs w:val="28"/>
        </w:rPr>
        <w:t>ам</w:t>
      </w:r>
      <w:r w:rsidR="00AE7401" w:rsidRPr="0088501C">
        <w:rPr>
          <w:rFonts w:ascii="Times New Roman" w:hAnsi="Times New Roman"/>
          <w:sz w:val="28"/>
          <w:szCs w:val="28"/>
        </w:rPr>
        <w:t xml:space="preserve"> перш</w:t>
      </w:r>
      <w:r w:rsidR="00A8456C" w:rsidRPr="0088501C">
        <w:rPr>
          <w:rFonts w:ascii="Times New Roman" w:hAnsi="Times New Roman"/>
          <w:sz w:val="28"/>
          <w:szCs w:val="28"/>
        </w:rPr>
        <w:t>ій</w:t>
      </w:r>
      <w:r w:rsidR="00AE7401" w:rsidRPr="0088501C">
        <w:rPr>
          <w:rFonts w:ascii="Times New Roman" w:hAnsi="Times New Roman"/>
          <w:sz w:val="28"/>
          <w:szCs w:val="28"/>
        </w:rPr>
        <w:t>, друг</w:t>
      </w:r>
      <w:r w:rsidR="00A8456C" w:rsidRPr="0088501C">
        <w:rPr>
          <w:rFonts w:ascii="Times New Roman" w:hAnsi="Times New Roman"/>
          <w:sz w:val="28"/>
          <w:szCs w:val="28"/>
        </w:rPr>
        <w:t>ій</w:t>
      </w:r>
      <w:r w:rsidR="00AE7401" w:rsidRPr="0088501C">
        <w:rPr>
          <w:rFonts w:ascii="Times New Roman" w:hAnsi="Times New Roman"/>
          <w:sz w:val="28"/>
          <w:szCs w:val="28"/>
        </w:rPr>
        <w:t xml:space="preserve"> статті 24, частин</w:t>
      </w:r>
      <w:r w:rsidR="009D2768" w:rsidRPr="0088501C">
        <w:rPr>
          <w:rFonts w:ascii="Times New Roman" w:hAnsi="Times New Roman"/>
          <w:sz w:val="28"/>
          <w:szCs w:val="28"/>
        </w:rPr>
        <w:t>і</w:t>
      </w:r>
      <w:r w:rsidR="00AE7401" w:rsidRPr="0088501C">
        <w:rPr>
          <w:rFonts w:ascii="Times New Roman" w:hAnsi="Times New Roman"/>
          <w:sz w:val="28"/>
          <w:szCs w:val="28"/>
        </w:rPr>
        <w:t xml:space="preserve"> перш</w:t>
      </w:r>
      <w:r w:rsidR="009D2768" w:rsidRPr="0088501C">
        <w:rPr>
          <w:rFonts w:ascii="Times New Roman" w:hAnsi="Times New Roman"/>
          <w:sz w:val="28"/>
          <w:szCs w:val="28"/>
        </w:rPr>
        <w:t>ій</w:t>
      </w:r>
      <w:r w:rsidR="00AE7401" w:rsidRPr="0088501C">
        <w:rPr>
          <w:rFonts w:ascii="Times New Roman" w:hAnsi="Times New Roman"/>
          <w:sz w:val="28"/>
          <w:szCs w:val="28"/>
        </w:rPr>
        <w:t xml:space="preserve"> </w:t>
      </w:r>
      <w:r w:rsidR="007D76FA" w:rsidRPr="0088501C">
        <w:rPr>
          <w:rFonts w:ascii="Times New Roman" w:hAnsi="Times New Roman"/>
          <w:sz w:val="28"/>
          <w:szCs w:val="28"/>
        </w:rPr>
        <w:br/>
      </w:r>
      <w:r w:rsidR="00AE7401" w:rsidRPr="0088501C">
        <w:rPr>
          <w:rFonts w:ascii="Times New Roman" w:hAnsi="Times New Roman"/>
          <w:sz w:val="28"/>
          <w:szCs w:val="28"/>
        </w:rPr>
        <w:t>статті 55, статті 64, пункт</w:t>
      </w:r>
      <w:r w:rsidR="009D2768" w:rsidRPr="0088501C">
        <w:rPr>
          <w:rFonts w:ascii="Times New Roman" w:hAnsi="Times New Roman"/>
          <w:sz w:val="28"/>
          <w:szCs w:val="28"/>
        </w:rPr>
        <w:t>ам</w:t>
      </w:r>
      <w:r w:rsidR="00AE7401" w:rsidRPr="0088501C">
        <w:rPr>
          <w:rFonts w:ascii="Times New Roman" w:hAnsi="Times New Roman"/>
          <w:sz w:val="28"/>
          <w:szCs w:val="28"/>
        </w:rPr>
        <w:t xml:space="preserve"> 1, 3, 6 частини другої статті 129 Конституції України (конституційність) приписи пункту 1 частини шостої статті 19, </w:t>
      </w:r>
      <w:r w:rsidR="0088501C">
        <w:rPr>
          <w:rFonts w:ascii="Times New Roman" w:hAnsi="Times New Roman"/>
          <w:sz w:val="28"/>
          <w:szCs w:val="28"/>
        </w:rPr>
        <w:t>пункту 2</w:t>
      </w:r>
      <w:r w:rsidR="0088501C">
        <w:rPr>
          <w:rFonts w:ascii="Times New Roman" w:hAnsi="Times New Roman"/>
          <w:sz w:val="28"/>
          <w:szCs w:val="28"/>
        </w:rPr>
        <w:br/>
      </w:r>
      <w:r w:rsidR="00AE7401" w:rsidRPr="0088501C">
        <w:rPr>
          <w:rFonts w:ascii="Times New Roman" w:hAnsi="Times New Roman"/>
          <w:sz w:val="28"/>
          <w:szCs w:val="28"/>
        </w:rPr>
        <w:t>частини третьої статті 389 Цивільного</w:t>
      </w:r>
      <w:r w:rsidR="0088501C">
        <w:rPr>
          <w:rFonts w:ascii="Times New Roman" w:hAnsi="Times New Roman"/>
          <w:sz w:val="28"/>
          <w:szCs w:val="28"/>
        </w:rPr>
        <w:t xml:space="preserve"> процесуального кодексу України</w:t>
      </w:r>
      <w:r w:rsidR="0088501C">
        <w:rPr>
          <w:rFonts w:ascii="Times New Roman" w:hAnsi="Times New Roman"/>
          <w:sz w:val="28"/>
          <w:szCs w:val="28"/>
        </w:rPr>
        <w:br/>
      </w:r>
      <w:r w:rsidR="00AE7401" w:rsidRPr="0088501C">
        <w:rPr>
          <w:rFonts w:ascii="Times New Roman" w:hAnsi="Times New Roman"/>
          <w:sz w:val="28"/>
          <w:szCs w:val="28"/>
        </w:rPr>
        <w:t>(далі – Кодекс).</w:t>
      </w:r>
    </w:p>
    <w:p w:rsidR="00AE7401" w:rsidRPr="0088501C" w:rsidRDefault="00AE7401" w:rsidP="00790891">
      <w:pPr>
        <w:pStyle w:val="rvps2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8501C">
        <w:rPr>
          <w:sz w:val="28"/>
          <w:szCs w:val="28"/>
        </w:rPr>
        <w:t xml:space="preserve">Згідно з приписом пункту 1 частини шостої статті 19 Кодексу для цілей Кодексу малозначними справами є </w:t>
      </w:r>
      <w:bookmarkStart w:id="1" w:name="n6181"/>
      <w:bookmarkEnd w:id="1"/>
      <w:r w:rsidRPr="0088501C">
        <w:rPr>
          <w:sz w:val="28"/>
          <w:szCs w:val="28"/>
        </w:rPr>
        <w:t>„справи, у яких ціна позову не перевищує ста розмірів прожиткового мінімуму для працездатних осіб“.</w:t>
      </w:r>
    </w:p>
    <w:p w:rsidR="00AE7401" w:rsidRPr="0088501C" w:rsidRDefault="00AE7401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Відповідно до приписів пункту 2 частини третьої статті 389 Кодексу не підлягають касаційному оскарженню „судові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осіб, крім випадків, якщо:</w:t>
      </w:r>
    </w:p>
    <w:p w:rsidR="00AE7401" w:rsidRPr="0088501C" w:rsidRDefault="00AE7401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а) касаційна скарга стосується питання права, яке має фундаментальне значення для формування єдиної правозастосовчої практики;</w:t>
      </w:r>
    </w:p>
    <w:p w:rsidR="00AE7401" w:rsidRPr="0088501C" w:rsidRDefault="00AE7401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б) 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AE7401" w:rsidRPr="0088501C" w:rsidRDefault="00AE7401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в) справа становить значний суспільний інтерес або має виняткове значення для учасника справи, який подає касаційну скаргу;</w:t>
      </w:r>
    </w:p>
    <w:p w:rsidR="00B767A1" w:rsidRDefault="00AE7401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г) суд першої інстанції відніс справу до категорії малозначних помилково</w:t>
      </w:r>
      <w:r w:rsidR="00352BE7" w:rsidRPr="0088501C">
        <w:rPr>
          <w:rFonts w:ascii="Times New Roman" w:hAnsi="Times New Roman"/>
          <w:sz w:val="28"/>
          <w:szCs w:val="28"/>
        </w:rPr>
        <w:t>“.</w:t>
      </w:r>
    </w:p>
    <w:p w:rsidR="00352BE7" w:rsidRPr="0088501C" w:rsidRDefault="00352BE7" w:rsidP="00790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E7" w:rsidRPr="0088501C" w:rsidRDefault="00352BE7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88501C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матеріалів випливає таке.</w:t>
      </w:r>
    </w:p>
    <w:p w:rsidR="008C7F0C" w:rsidRPr="0088501C" w:rsidRDefault="008C7F0C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У квітні 2020 року </w:t>
      </w:r>
      <w:r w:rsidR="00323AAE" w:rsidRPr="0088501C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омунальне підприємство „Жилкомсервіс“ (далі – </w:t>
      </w:r>
      <w:r w:rsidR="009D2768" w:rsidRPr="0088501C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КП „Жилкомсервіс“) звернулося до Жовтневого районного суду </w:t>
      </w:r>
      <w:r w:rsidR="009D2768" w:rsidRPr="0088501C">
        <w:rPr>
          <w:rFonts w:ascii="Times New Roman" w:eastAsia="Times New Roman" w:hAnsi="Times New Roman"/>
          <w:sz w:val="28"/>
          <w:szCs w:val="28"/>
          <w:lang w:eastAsia="uk-UA"/>
        </w:rPr>
        <w:t>міста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Харкова з позовом до Заявниці, в якому</w:t>
      </w:r>
      <w:r w:rsidR="009D2768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просило стягнути 8 439,86 грн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заборгованості за надані послуги з утримання будинків і споруд та прибудинкових територій за період з 1 березня</w:t>
      </w:r>
      <w:r w:rsidR="00035B5D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2007 року по 1 березня 2020 року.</w:t>
      </w:r>
    </w:p>
    <w:p w:rsidR="008C7F0C" w:rsidRPr="0088501C" w:rsidRDefault="008C7F0C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Жовтневий районний суд</w:t>
      </w:r>
      <w:r w:rsidR="005D599F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м</w:t>
      </w:r>
      <w:r w:rsidR="009D2768" w:rsidRPr="0088501C">
        <w:rPr>
          <w:rFonts w:ascii="Times New Roman" w:eastAsia="Times New Roman" w:hAnsi="Times New Roman"/>
          <w:sz w:val="28"/>
          <w:szCs w:val="28"/>
          <w:lang w:eastAsia="uk-UA"/>
        </w:rPr>
        <w:t>іста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Харкова рішенням від 2 липня 2020 року </w:t>
      </w:r>
      <w:r w:rsidR="005D599F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задовольнив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позов КП </w:t>
      </w:r>
      <w:r w:rsidR="005D599F" w:rsidRPr="0088501C">
        <w:rPr>
          <w:rFonts w:ascii="Times New Roman" w:eastAsia="Times New Roman" w:hAnsi="Times New Roman"/>
          <w:sz w:val="28"/>
          <w:szCs w:val="28"/>
          <w:lang w:eastAsia="uk-UA"/>
        </w:rPr>
        <w:t>„Жилкомсервіс“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C7F0C" w:rsidRPr="0088501C" w:rsidRDefault="008C7F0C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Харківськ</w:t>
      </w:r>
      <w:r w:rsidR="0086435A" w:rsidRPr="0088501C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апеляційн</w:t>
      </w:r>
      <w:r w:rsidR="0086435A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ий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суд постановою від 7 жовтня 2020 року апеляційну скаргу</w:t>
      </w:r>
      <w:r w:rsidR="0086435A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Заявниці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задовольнив частково</w:t>
      </w:r>
      <w:r w:rsidR="00DD2247" w:rsidRPr="0088501C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86435A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р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ішення Жовтневого районного суду міста Харкова</w:t>
      </w:r>
      <w:r w:rsidR="00DD2247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2 липня 2020 року змінив,</w:t>
      </w:r>
      <w:r w:rsidR="0086435A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стягнув з </w:t>
      </w:r>
      <w:r w:rsidR="0086435A" w:rsidRPr="0088501C">
        <w:rPr>
          <w:rFonts w:ascii="Times New Roman" w:eastAsia="Times New Roman" w:hAnsi="Times New Roman"/>
          <w:sz w:val="28"/>
          <w:szCs w:val="28"/>
          <w:lang w:eastAsia="uk-UA"/>
        </w:rPr>
        <w:t>Заявниці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на користь</w:t>
      </w:r>
      <w:r w:rsidR="0086435A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КП </w:t>
      </w:r>
      <w:r w:rsidR="0086435A" w:rsidRPr="0088501C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Жилкомсервіс</w:t>
      </w:r>
      <w:r w:rsidR="0086435A" w:rsidRPr="0088501C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3 608,57 грн заборгованості за надані послуги з</w:t>
      </w:r>
      <w:r w:rsidR="0086435A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утримання будинків і сп</w:t>
      </w:r>
      <w:r w:rsidR="0086435A" w:rsidRPr="0088501C">
        <w:rPr>
          <w:rFonts w:ascii="Times New Roman" w:eastAsia="Times New Roman" w:hAnsi="Times New Roman"/>
          <w:sz w:val="28"/>
          <w:szCs w:val="28"/>
          <w:lang w:eastAsia="uk-UA"/>
        </w:rPr>
        <w:t>оруд та прибудинкових територій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768C7" w:rsidRPr="0088501C" w:rsidRDefault="00B768C7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Верховний Суд у складі колегії</w:t>
      </w:r>
      <w:r w:rsidR="00B862C0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суддів Другої судової палати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>Касаційного цивільного суду ухвалою від 12 січня 2021 року відмовив</w:t>
      </w:r>
      <w:r w:rsidR="00B862C0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у </w:t>
      </w:r>
      <w:r w:rsidR="00B862C0" w:rsidRPr="0088501C">
        <w:rPr>
          <w:rFonts w:ascii="Times New Roman" w:eastAsia="Times New Roman" w:hAnsi="Times New Roman"/>
          <w:sz w:val="28"/>
          <w:szCs w:val="28"/>
          <w:lang w:eastAsia="uk-UA"/>
        </w:rPr>
        <w:t>відкритті касаційного провадження за касаційною скаргою Заявниці на рішення Жовтневого районного суду м</w:t>
      </w:r>
      <w:r w:rsidR="00A547DA" w:rsidRPr="0088501C">
        <w:rPr>
          <w:rFonts w:ascii="Times New Roman" w:eastAsia="Times New Roman" w:hAnsi="Times New Roman"/>
          <w:sz w:val="28"/>
          <w:szCs w:val="28"/>
          <w:lang w:eastAsia="uk-UA"/>
        </w:rPr>
        <w:t>іста</w:t>
      </w:r>
      <w:r w:rsidR="00B862C0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Харкова від 2 липня 2020 року та постанову Харківського апеляційного суду від 7 жовтня 2020 року</w:t>
      </w:r>
      <w:r w:rsidR="005F0986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та</w:t>
      </w:r>
      <w:r w:rsidR="002553F8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зазначив, що „досліджено та взято до уваги ціну позову, предмет позову, складність справи, а також значення справи для сторін і суспільства і не вст</w:t>
      </w:r>
      <w:r w:rsidR="0088501C">
        <w:rPr>
          <w:rFonts w:ascii="Times New Roman" w:eastAsia="Times New Roman" w:hAnsi="Times New Roman"/>
          <w:sz w:val="28"/>
          <w:szCs w:val="28"/>
          <w:lang w:eastAsia="uk-UA"/>
        </w:rPr>
        <w:t>ановлено випадків, передбачених</w:t>
      </w:r>
      <w:r w:rsidR="0088501C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2553F8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пунктом 2 частини третьої статті 389 </w:t>
      </w:r>
      <w:r w:rsidR="0033133C" w:rsidRPr="0088501C">
        <w:rPr>
          <w:rFonts w:ascii="Times New Roman" w:eastAsia="Times New Roman" w:hAnsi="Times New Roman"/>
          <w:sz w:val="28"/>
          <w:szCs w:val="28"/>
          <w:lang w:eastAsia="uk-UA"/>
        </w:rPr>
        <w:t>ЦПК України</w:t>
      </w:r>
      <w:r w:rsidR="002553F8" w:rsidRPr="0088501C">
        <w:rPr>
          <w:rFonts w:ascii="Times New Roman" w:eastAsia="Times New Roman" w:hAnsi="Times New Roman"/>
          <w:sz w:val="28"/>
          <w:szCs w:val="28"/>
          <w:lang w:eastAsia="uk-UA"/>
        </w:rPr>
        <w:t>, за наявності яких судове рішення у малозначній справі підлягає касаційному оскарженню</w:t>
      </w:r>
      <w:r w:rsidR="00EB65AA" w:rsidRPr="0088501C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2553F8" w:rsidRPr="008850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C7F0C" w:rsidRPr="0088501C" w:rsidRDefault="008C7F0C" w:rsidP="00790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767A1" w:rsidRDefault="00352BE7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F64F0E" w:rsidRPr="0088501C">
        <w:rPr>
          <w:rFonts w:ascii="Times New Roman" w:eastAsia="Times New Roman" w:hAnsi="Times New Roman"/>
          <w:sz w:val="28"/>
          <w:szCs w:val="28"/>
          <w:lang w:eastAsia="uk-UA"/>
        </w:rPr>
        <w:t>Заявниця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стверджує, </w:t>
      </w:r>
      <w:r w:rsidR="009C5181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зокрема, 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9C5181" w:rsidRPr="0088501C">
        <w:rPr>
          <w:rFonts w:ascii="Times New Roman" w:hAnsi="Times New Roman"/>
          <w:sz w:val="28"/>
          <w:szCs w:val="28"/>
        </w:rPr>
        <w:t>«</w:t>
      </w:r>
      <w:r w:rsidR="00FE2E39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виділення частиною шостою </w:t>
      </w:r>
      <w:r w:rsidR="00EC74F2" w:rsidRPr="0088501C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FE2E39" w:rsidRPr="0088501C">
        <w:rPr>
          <w:rFonts w:ascii="Times New Roman" w:eastAsia="Times New Roman" w:hAnsi="Times New Roman"/>
          <w:sz w:val="28"/>
          <w:szCs w:val="28"/>
          <w:lang w:eastAsia="uk-UA"/>
        </w:rPr>
        <w:t>статті 19 ЦПК України із загалу справ множини так званих „малозначних справ“ в залежності від ціни позову, категорії справи, предмета справи, та подальше позбавлення судом учасників таких справ майже всіх судових процедур, є справжньою дискримінацією</w:t>
      </w:r>
      <w:r w:rsidR="009C5181" w:rsidRPr="0088501C">
        <w:rPr>
          <w:rFonts w:ascii="Times New Roman" w:hAnsi="Times New Roman"/>
          <w:sz w:val="28"/>
          <w:szCs w:val="28"/>
        </w:rPr>
        <w:t xml:space="preserve"> &lt;...&gt;</w:t>
      </w:r>
      <w:r w:rsidR="00FE2E39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A3876" w:rsidRPr="0088501C">
        <w:rPr>
          <w:rFonts w:ascii="Times New Roman" w:eastAsia="Times New Roman" w:hAnsi="Times New Roman"/>
          <w:sz w:val="28"/>
          <w:szCs w:val="28"/>
          <w:lang w:eastAsia="uk-UA"/>
        </w:rPr>
        <w:t>така дискримінація за ціною позову та іншими ознаками, вказаними у частині шостій цієї статті ЦПК України порушує конституційне право на доступ до правосуддя</w:t>
      </w:r>
      <w:r w:rsidR="004A3876" w:rsidRPr="0088501C">
        <w:rPr>
          <w:rFonts w:ascii="Times New Roman" w:hAnsi="Times New Roman"/>
          <w:sz w:val="28"/>
          <w:szCs w:val="28"/>
        </w:rPr>
        <w:t>».</w:t>
      </w:r>
      <w:r w:rsidR="004113A9" w:rsidRPr="0088501C">
        <w:rPr>
          <w:rFonts w:ascii="Times New Roman" w:hAnsi="Times New Roman"/>
          <w:sz w:val="28"/>
          <w:szCs w:val="28"/>
        </w:rPr>
        <w:t xml:space="preserve"> </w:t>
      </w:r>
      <w:r w:rsidR="009D2768" w:rsidRPr="0088501C">
        <w:rPr>
          <w:rFonts w:ascii="Times New Roman" w:hAnsi="Times New Roman"/>
          <w:sz w:val="28"/>
          <w:szCs w:val="28"/>
        </w:rPr>
        <w:t>Н</w:t>
      </w:r>
      <w:r w:rsidR="004113A9" w:rsidRPr="0088501C">
        <w:rPr>
          <w:rFonts w:ascii="Times New Roman" w:hAnsi="Times New Roman"/>
          <w:sz w:val="28"/>
          <w:szCs w:val="28"/>
        </w:rPr>
        <w:t>а думку Заявниці, встановлені у пункті 2 частини третьої статті 389 Кодексу виключні випадки, за яких касаційне оскарження рішень судів першої та апеляційної інстанцій є можливим, «настільки „розмиті“, що насправді не дають права на касаційне оскарження</w:t>
      </w:r>
      <w:r w:rsidR="00E14C31" w:rsidRPr="0088501C">
        <w:rPr>
          <w:rFonts w:ascii="Times New Roman" w:hAnsi="Times New Roman"/>
          <w:sz w:val="28"/>
          <w:szCs w:val="28"/>
        </w:rPr>
        <w:t>».</w:t>
      </w:r>
    </w:p>
    <w:p w:rsidR="0088501C" w:rsidRDefault="0088501C" w:rsidP="0079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E7" w:rsidRPr="0088501C" w:rsidRDefault="00352BE7" w:rsidP="00790891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4.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FF53C2" w:rsidRPr="0088501C" w:rsidRDefault="00FF53C2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77); конституційна скарга має містити обґрунтування тверджень щодо </w:t>
      </w:r>
      <w:r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неконституційності закону України (його окремих</w:t>
      </w:r>
      <w:r w:rsidR="00B767A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>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:rsidR="00C91411" w:rsidRPr="0088501C" w:rsidRDefault="00C91411" w:rsidP="00790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82EA7" w:rsidRPr="0088501C" w:rsidRDefault="00A30B4F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4.1. </w:t>
      </w:r>
      <w:r w:rsidR="00582EA7"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>Зі змісту конституційної скарги випливає, що Заявниця не погоджується із законодавчо встановленим обмеженням щодо оскарження в касаційному порядку судових рішень у малозначних справах і вважає його таким, що перешкоджає реалізації права на</w:t>
      </w:r>
      <w:r w:rsidR="00EC74F2"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582EA7"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судовий захист, </w:t>
      </w:r>
      <w:r w:rsidR="00274315"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гарантованого </w:t>
      </w:r>
      <w:r w:rsidR="00582EA7"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>частиною першою статті 55</w:t>
      </w:r>
      <w:r w:rsidR="00EC74F2"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582EA7"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Конституції України. </w:t>
      </w:r>
      <w:r w:rsidR="00E33DD6"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>Проте</w:t>
      </w:r>
      <w:r w:rsidR="00582EA7" w:rsidRPr="008850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долучені до конституційної скарги копії судових рішень свідчать, що Заявниця реалізувала право на судовий захист.</w:t>
      </w:r>
    </w:p>
    <w:p w:rsidR="00EC74F2" w:rsidRPr="0088501C" w:rsidRDefault="00EC74F2" w:rsidP="0079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16F" w:rsidRPr="0088501C" w:rsidRDefault="00EC74F2" w:rsidP="00790891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 xml:space="preserve">4.2. </w:t>
      </w:r>
      <w:r w:rsidR="0087216F" w:rsidRPr="0088501C">
        <w:rPr>
          <w:rFonts w:ascii="Times New Roman" w:hAnsi="Times New Roman"/>
          <w:sz w:val="28"/>
          <w:szCs w:val="28"/>
        </w:rPr>
        <w:t>Згідно з пунктом 8 частини другої статті 129 Конституції України однією з основних засад судочинства є забезпечення права на апеляційний перегляд справи та у визначених законом випадках – на касаційне оскарження судового рішення.</w:t>
      </w:r>
      <w:r w:rsidR="00582EA7" w:rsidRPr="0088501C">
        <w:rPr>
          <w:rFonts w:ascii="Times New Roman" w:hAnsi="Times New Roman"/>
          <w:sz w:val="28"/>
          <w:szCs w:val="28"/>
        </w:rPr>
        <w:t xml:space="preserve"> Отже, Конституція України не містить положень щодо обов’язкового касаційного </w:t>
      </w:r>
      <w:r w:rsidR="00323AAE" w:rsidRPr="0088501C">
        <w:rPr>
          <w:rFonts w:ascii="Times New Roman" w:hAnsi="Times New Roman"/>
          <w:sz w:val="28"/>
          <w:szCs w:val="28"/>
        </w:rPr>
        <w:t>оскарження</w:t>
      </w:r>
      <w:r w:rsidR="00582EA7" w:rsidRPr="0088501C">
        <w:rPr>
          <w:rFonts w:ascii="Times New Roman" w:hAnsi="Times New Roman"/>
          <w:sz w:val="28"/>
          <w:szCs w:val="28"/>
        </w:rPr>
        <w:t xml:space="preserve"> усіх без винятку судових рішень.</w:t>
      </w:r>
    </w:p>
    <w:p w:rsidR="00A1390F" w:rsidRPr="0088501C" w:rsidRDefault="00A1390F" w:rsidP="00790891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Конституційний Суд України у Висновку від 20 січня 2016 року</w:t>
      </w:r>
      <w:r w:rsidR="0095765B" w:rsidRPr="0088501C">
        <w:rPr>
          <w:rFonts w:ascii="Times New Roman" w:hAnsi="Times New Roman"/>
          <w:sz w:val="28"/>
          <w:szCs w:val="28"/>
        </w:rPr>
        <w:t xml:space="preserve"> </w:t>
      </w:r>
      <w:r w:rsidR="00B767A1">
        <w:rPr>
          <w:rFonts w:ascii="Times New Roman" w:hAnsi="Times New Roman"/>
          <w:sz w:val="28"/>
          <w:szCs w:val="28"/>
        </w:rPr>
        <w:t xml:space="preserve">№ </w:t>
      </w:r>
      <w:r w:rsidR="00614BBA" w:rsidRPr="0088501C">
        <w:rPr>
          <w:rFonts w:ascii="Times New Roman" w:hAnsi="Times New Roman"/>
          <w:sz w:val="28"/>
          <w:szCs w:val="28"/>
        </w:rPr>
        <w:t xml:space="preserve">1-в/2016 </w:t>
      </w:r>
      <w:r w:rsidRPr="0088501C">
        <w:rPr>
          <w:rFonts w:ascii="Times New Roman" w:hAnsi="Times New Roman"/>
          <w:sz w:val="28"/>
          <w:szCs w:val="28"/>
        </w:rPr>
        <w:t xml:space="preserve">зазначив, що </w:t>
      </w:r>
      <w:r w:rsidR="0095765B" w:rsidRPr="0088501C">
        <w:rPr>
          <w:rFonts w:ascii="Times New Roman" w:hAnsi="Times New Roman"/>
          <w:sz w:val="28"/>
          <w:szCs w:val="28"/>
        </w:rPr>
        <w:t>„</w:t>
      </w:r>
      <w:r w:rsidRPr="0088501C">
        <w:rPr>
          <w:rFonts w:ascii="Times New Roman" w:hAnsi="Times New Roman"/>
          <w:sz w:val="28"/>
          <w:szCs w:val="28"/>
        </w:rPr>
        <w:t>особі має бути гарантовано право на перегляд її</w:t>
      </w:r>
      <w:r w:rsidR="0095765B" w:rsidRPr="0088501C">
        <w:rPr>
          <w:rFonts w:ascii="Times New Roman" w:hAnsi="Times New Roman"/>
          <w:sz w:val="28"/>
          <w:szCs w:val="28"/>
        </w:rPr>
        <w:t xml:space="preserve"> </w:t>
      </w:r>
      <w:r w:rsidRPr="0088501C">
        <w:rPr>
          <w:rFonts w:ascii="Times New Roman" w:hAnsi="Times New Roman"/>
          <w:sz w:val="28"/>
          <w:szCs w:val="28"/>
        </w:rPr>
        <w:t>справи судом апеляційної інстанції. Після апеляційного розгляду справи</w:t>
      </w:r>
      <w:r w:rsidR="0095765B" w:rsidRPr="0088501C">
        <w:rPr>
          <w:rFonts w:ascii="Times New Roman" w:hAnsi="Times New Roman"/>
          <w:sz w:val="28"/>
          <w:szCs w:val="28"/>
        </w:rPr>
        <w:t xml:space="preserve"> </w:t>
      </w:r>
      <w:r w:rsidRPr="0088501C">
        <w:rPr>
          <w:rFonts w:ascii="Times New Roman" w:hAnsi="Times New Roman"/>
          <w:sz w:val="28"/>
          <w:szCs w:val="28"/>
        </w:rPr>
        <w:t>сторони судового процесу можуть бути наділені правом оскаржити судові</w:t>
      </w:r>
      <w:r w:rsidR="0095765B" w:rsidRPr="0088501C">
        <w:rPr>
          <w:rFonts w:ascii="Times New Roman" w:hAnsi="Times New Roman"/>
          <w:sz w:val="28"/>
          <w:szCs w:val="28"/>
        </w:rPr>
        <w:t xml:space="preserve"> </w:t>
      </w:r>
      <w:r w:rsidRPr="0088501C">
        <w:rPr>
          <w:rFonts w:ascii="Times New Roman" w:hAnsi="Times New Roman"/>
          <w:sz w:val="28"/>
          <w:szCs w:val="28"/>
        </w:rPr>
        <w:t>рішення першої та апеляційної інстанцій до суду касаційної інстанції у</w:t>
      </w:r>
      <w:r w:rsidR="0095765B" w:rsidRPr="0088501C">
        <w:rPr>
          <w:rFonts w:ascii="Times New Roman" w:hAnsi="Times New Roman"/>
          <w:sz w:val="28"/>
          <w:szCs w:val="28"/>
        </w:rPr>
        <w:t xml:space="preserve"> </w:t>
      </w:r>
      <w:r w:rsidRPr="0088501C">
        <w:rPr>
          <w:rFonts w:ascii="Times New Roman" w:hAnsi="Times New Roman"/>
          <w:sz w:val="28"/>
          <w:szCs w:val="28"/>
        </w:rPr>
        <w:t>випадках, визначених законом, що сприятиме забезпеченню реалізації</w:t>
      </w:r>
      <w:r w:rsidR="0095765B" w:rsidRPr="0088501C">
        <w:rPr>
          <w:rFonts w:ascii="Times New Roman" w:hAnsi="Times New Roman"/>
          <w:sz w:val="28"/>
          <w:szCs w:val="28"/>
        </w:rPr>
        <w:t xml:space="preserve"> принципу верховенства права“ (абзац другий підпункту 3.6.3 підпункту 3.6 пункту 3 мотивувальної частини)</w:t>
      </w:r>
      <w:r w:rsidRPr="0088501C">
        <w:rPr>
          <w:rFonts w:ascii="Times New Roman" w:hAnsi="Times New Roman"/>
          <w:sz w:val="28"/>
          <w:szCs w:val="28"/>
        </w:rPr>
        <w:t>.</w:t>
      </w:r>
      <w:r w:rsidR="0095765B" w:rsidRPr="0088501C">
        <w:rPr>
          <w:rFonts w:ascii="Times New Roman" w:hAnsi="Times New Roman"/>
          <w:sz w:val="28"/>
          <w:szCs w:val="28"/>
        </w:rPr>
        <w:t xml:space="preserve"> </w:t>
      </w:r>
      <w:r w:rsidRPr="0088501C">
        <w:rPr>
          <w:rFonts w:ascii="Times New Roman" w:hAnsi="Times New Roman"/>
          <w:sz w:val="28"/>
          <w:szCs w:val="28"/>
        </w:rPr>
        <w:t>Тобто визначення випадків, у яких судове рішення може бути</w:t>
      </w:r>
      <w:r w:rsidR="0095765B" w:rsidRPr="0088501C">
        <w:rPr>
          <w:rFonts w:ascii="Times New Roman" w:hAnsi="Times New Roman"/>
          <w:sz w:val="28"/>
          <w:szCs w:val="28"/>
        </w:rPr>
        <w:t xml:space="preserve"> </w:t>
      </w:r>
      <w:r w:rsidRPr="0088501C">
        <w:rPr>
          <w:rFonts w:ascii="Times New Roman" w:hAnsi="Times New Roman"/>
          <w:sz w:val="28"/>
          <w:szCs w:val="28"/>
        </w:rPr>
        <w:t>оскаржено у касаційному порядку, є виключним повноваженням</w:t>
      </w:r>
      <w:r w:rsidR="0095765B" w:rsidRPr="0088501C">
        <w:rPr>
          <w:rFonts w:ascii="Times New Roman" w:hAnsi="Times New Roman"/>
          <w:sz w:val="28"/>
          <w:szCs w:val="28"/>
        </w:rPr>
        <w:t xml:space="preserve"> </w:t>
      </w:r>
      <w:r w:rsidRPr="0088501C">
        <w:rPr>
          <w:rFonts w:ascii="Times New Roman" w:hAnsi="Times New Roman"/>
          <w:sz w:val="28"/>
          <w:szCs w:val="28"/>
        </w:rPr>
        <w:t>законодавця.</w:t>
      </w:r>
    </w:p>
    <w:p w:rsidR="00EC74F2" w:rsidRPr="0088501C" w:rsidRDefault="00EC74F2" w:rsidP="0079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40D" w:rsidRPr="0088501C" w:rsidRDefault="00EC74F2" w:rsidP="00790891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4.3. У конституційній скарзі</w:t>
      </w:r>
      <w:r w:rsidR="0060388E" w:rsidRPr="0088501C">
        <w:rPr>
          <w:rFonts w:ascii="Times New Roman" w:hAnsi="Times New Roman"/>
          <w:sz w:val="28"/>
          <w:szCs w:val="28"/>
        </w:rPr>
        <w:t xml:space="preserve"> </w:t>
      </w:r>
      <w:r w:rsidR="00E33DD6" w:rsidRPr="0088501C">
        <w:rPr>
          <w:rFonts w:ascii="Times New Roman" w:hAnsi="Times New Roman"/>
          <w:sz w:val="28"/>
          <w:szCs w:val="28"/>
          <w:lang w:val="ru-RU"/>
        </w:rPr>
        <w:t xml:space="preserve">Заявниця </w:t>
      </w:r>
      <w:r w:rsidR="00FD640D" w:rsidRPr="0088501C">
        <w:rPr>
          <w:rFonts w:ascii="Times New Roman" w:hAnsi="Times New Roman"/>
          <w:sz w:val="28"/>
          <w:szCs w:val="28"/>
        </w:rPr>
        <w:t xml:space="preserve">фактично </w:t>
      </w:r>
      <w:r w:rsidR="00E33DD6" w:rsidRPr="0088501C">
        <w:rPr>
          <w:rFonts w:ascii="Times New Roman" w:hAnsi="Times New Roman"/>
          <w:sz w:val="28"/>
          <w:szCs w:val="28"/>
        </w:rPr>
        <w:t>висловила</w:t>
      </w:r>
      <w:r w:rsidR="00FD640D" w:rsidRPr="0088501C">
        <w:rPr>
          <w:rFonts w:ascii="Times New Roman" w:hAnsi="Times New Roman"/>
          <w:sz w:val="28"/>
          <w:szCs w:val="28"/>
        </w:rPr>
        <w:t xml:space="preserve"> незгоду з законодав</w:t>
      </w:r>
      <w:r w:rsidR="00E33DD6" w:rsidRPr="0088501C">
        <w:rPr>
          <w:rFonts w:ascii="Times New Roman" w:hAnsi="Times New Roman"/>
          <w:sz w:val="28"/>
          <w:szCs w:val="28"/>
        </w:rPr>
        <w:t xml:space="preserve">чим </w:t>
      </w:r>
      <w:r w:rsidR="00323AAE" w:rsidRPr="0088501C">
        <w:rPr>
          <w:rFonts w:ascii="Times New Roman" w:hAnsi="Times New Roman"/>
          <w:sz w:val="28"/>
          <w:szCs w:val="28"/>
        </w:rPr>
        <w:t>в</w:t>
      </w:r>
      <w:r w:rsidR="00FD640D" w:rsidRPr="0088501C">
        <w:rPr>
          <w:rFonts w:ascii="Times New Roman" w:hAnsi="Times New Roman"/>
          <w:sz w:val="28"/>
          <w:szCs w:val="28"/>
        </w:rPr>
        <w:t>регулюва</w:t>
      </w:r>
      <w:r w:rsidR="00E33DD6" w:rsidRPr="0088501C">
        <w:rPr>
          <w:rFonts w:ascii="Times New Roman" w:hAnsi="Times New Roman"/>
          <w:sz w:val="28"/>
          <w:szCs w:val="28"/>
        </w:rPr>
        <w:t>нням порядку</w:t>
      </w:r>
      <w:r w:rsidR="00FD640D" w:rsidRPr="0088501C">
        <w:rPr>
          <w:rFonts w:ascii="Times New Roman" w:hAnsi="Times New Roman"/>
          <w:sz w:val="28"/>
          <w:szCs w:val="28"/>
        </w:rPr>
        <w:t xml:space="preserve"> касаційного оскарження </w:t>
      </w:r>
      <w:r w:rsidR="0060388E" w:rsidRPr="0088501C">
        <w:rPr>
          <w:rFonts w:ascii="Times New Roman" w:hAnsi="Times New Roman"/>
          <w:sz w:val="28"/>
          <w:szCs w:val="28"/>
        </w:rPr>
        <w:t xml:space="preserve">судових </w:t>
      </w:r>
      <w:r w:rsidR="00FD640D" w:rsidRPr="0088501C">
        <w:rPr>
          <w:rFonts w:ascii="Times New Roman" w:hAnsi="Times New Roman"/>
          <w:sz w:val="28"/>
          <w:szCs w:val="28"/>
        </w:rPr>
        <w:t>рішень у малозначних справах. Зазначене не може вважатись обґрунтуванням тверджень щодо неконституційності оспор</w:t>
      </w:r>
      <w:r w:rsidR="00323AAE" w:rsidRPr="0088501C">
        <w:rPr>
          <w:rFonts w:ascii="Times New Roman" w:hAnsi="Times New Roman"/>
          <w:sz w:val="28"/>
          <w:szCs w:val="28"/>
        </w:rPr>
        <w:t>юва</w:t>
      </w:r>
      <w:r w:rsidR="00FD640D" w:rsidRPr="0088501C">
        <w:rPr>
          <w:rFonts w:ascii="Times New Roman" w:hAnsi="Times New Roman"/>
          <w:sz w:val="28"/>
          <w:szCs w:val="28"/>
        </w:rPr>
        <w:t>них приписів Кодексу в контексті вимог пункту 6 частини другої статті 55 Закону України „</w:t>
      </w:r>
      <w:r w:rsidR="0060388E" w:rsidRPr="0088501C">
        <w:rPr>
          <w:rFonts w:ascii="Times New Roman" w:hAnsi="Times New Roman"/>
          <w:sz w:val="28"/>
          <w:szCs w:val="28"/>
        </w:rPr>
        <w:t>Про Конституційний Суд України“.</w:t>
      </w:r>
    </w:p>
    <w:p w:rsidR="00352BE7" w:rsidRPr="0088501C" w:rsidRDefault="00352BE7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Наведене</w:t>
      </w:r>
      <w:r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01C">
        <w:rPr>
          <w:rFonts w:ascii="Times New Roman" w:hAnsi="Times New Roman"/>
          <w:sz w:val="28"/>
          <w:szCs w:val="28"/>
        </w:rPr>
        <w:t>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352BE7" w:rsidRPr="0088501C" w:rsidRDefault="00352BE7" w:rsidP="00790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7A1" w:rsidRDefault="00352BE7" w:rsidP="007908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88501C">
        <w:rPr>
          <w:rFonts w:ascii="Times New Roman" w:hAnsi="Times New Roman"/>
          <w:sz w:val="28"/>
          <w:szCs w:val="28"/>
          <w:vertAlign w:val="superscript"/>
        </w:rPr>
        <w:t>1</w:t>
      </w:r>
      <w:r w:rsidRPr="0088501C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352BE7" w:rsidRPr="0088501C" w:rsidRDefault="00352BE7" w:rsidP="00790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E7" w:rsidRPr="0088501C" w:rsidRDefault="00352BE7" w:rsidP="00790891">
      <w:pPr>
        <w:pStyle w:val="12"/>
        <w:autoSpaceDE w:val="0"/>
        <w:autoSpaceDN w:val="0"/>
        <w:adjustRightInd w:val="0"/>
        <w:spacing w:after="0" w:line="33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501C">
        <w:rPr>
          <w:rFonts w:ascii="Times New Roman" w:hAnsi="Times New Roman"/>
          <w:b/>
          <w:sz w:val="28"/>
          <w:szCs w:val="28"/>
        </w:rPr>
        <w:t>у х в а л и л а:</w:t>
      </w:r>
    </w:p>
    <w:p w:rsidR="00352BE7" w:rsidRPr="0088501C" w:rsidRDefault="00352BE7" w:rsidP="00790891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2BE7" w:rsidRPr="0088501C" w:rsidRDefault="00352BE7" w:rsidP="00790891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FF53C2" w:rsidRPr="0088501C">
        <w:rPr>
          <w:rFonts w:ascii="Times New Roman" w:eastAsia="Times New Roman" w:hAnsi="Times New Roman"/>
          <w:sz w:val="28"/>
          <w:szCs w:val="28"/>
          <w:lang w:eastAsia="uk-UA"/>
        </w:rPr>
        <w:t>Дорошко Ольги Євгенівни щодо відповідності Конституції України (конституційності) припис</w:t>
      </w:r>
      <w:r w:rsidR="00E33DD6" w:rsidRPr="0088501C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FF53C2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501C">
        <w:rPr>
          <w:rFonts w:ascii="Times New Roman" w:eastAsia="Times New Roman" w:hAnsi="Times New Roman"/>
          <w:sz w:val="28"/>
          <w:szCs w:val="28"/>
          <w:lang w:eastAsia="uk-UA"/>
        </w:rPr>
        <w:t>пункту 1 частини шостої</w:t>
      </w:r>
      <w:r w:rsidR="0088501C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FF53C2" w:rsidRPr="0088501C">
        <w:rPr>
          <w:rFonts w:ascii="Times New Roman" w:eastAsia="Times New Roman" w:hAnsi="Times New Roman"/>
          <w:sz w:val="28"/>
          <w:szCs w:val="28"/>
          <w:lang w:eastAsia="uk-UA"/>
        </w:rPr>
        <w:t xml:space="preserve">статті 19, пункту 2 частини третьої статті 389 Цивільного процесуального кодексу України </w:t>
      </w:r>
      <w:r w:rsidRPr="0088501C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352BE7" w:rsidRPr="0088501C" w:rsidRDefault="00352BE7" w:rsidP="00790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E7" w:rsidRDefault="00352BE7" w:rsidP="00790891">
      <w:pPr>
        <w:pStyle w:val="11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01C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88501C" w:rsidRDefault="0088501C" w:rsidP="0088501C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8501C" w:rsidRDefault="0088501C" w:rsidP="0088501C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8501C" w:rsidRDefault="0088501C" w:rsidP="0088501C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0FC8" w:rsidRPr="00B10FC8" w:rsidRDefault="00B10FC8" w:rsidP="00B10FC8">
      <w:pPr>
        <w:pStyle w:val="11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0FC8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B10FC8" w:rsidRPr="00B10FC8" w:rsidRDefault="00B10FC8" w:rsidP="00B10FC8">
      <w:pPr>
        <w:pStyle w:val="11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0FC8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88501C" w:rsidRDefault="00B10FC8" w:rsidP="00B10FC8">
      <w:pPr>
        <w:pStyle w:val="11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B10FC8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88501C" w:rsidSect="0088501C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21" w:rsidRDefault="00947A21">
      <w:pPr>
        <w:spacing w:after="0" w:line="240" w:lineRule="auto"/>
      </w:pPr>
      <w:r>
        <w:separator/>
      </w:r>
    </w:p>
  </w:endnote>
  <w:endnote w:type="continuationSeparator" w:id="0">
    <w:p w:rsidR="00947A21" w:rsidRDefault="0094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48" w:rsidRPr="00416248" w:rsidRDefault="0088501C" w:rsidP="00416248">
    <w:pPr>
      <w:pStyle w:val="a6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B10FC8">
      <w:rPr>
        <w:rFonts w:ascii="Times New Roman" w:hAnsi="Times New Roman"/>
        <w:noProof/>
        <w:sz w:val="10"/>
        <w:szCs w:val="10"/>
      </w:rPr>
      <w:t>G:\2021\Suddi\II senat\II koleg\26.docx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1C" w:rsidRPr="0088501C" w:rsidRDefault="0088501C" w:rsidP="0088501C">
    <w:pPr>
      <w:pStyle w:val="a6"/>
      <w:spacing w:after="0" w:line="240" w:lineRule="auto"/>
      <w:rPr>
        <w:rFonts w:ascii="Times New Roman" w:hAnsi="Times New Roman"/>
        <w:sz w:val="10"/>
        <w:szCs w:val="10"/>
      </w:rPr>
    </w:pPr>
    <w:r w:rsidRPr="0088501C">
      <w:rPr>
        <w:rFonts w:ascii="Times New Roman" w:hAnsi="Times New Roman"/>
        <w:sz w:val="10"/>
        <w:szCs w:val="10"/>
      </w:rPr>
      <w:fldChar w:fldCharType="begin"/>
    </w:r>
    <w:r w:rsidRPr="0088501C">
      <w:rPr>
        <w:rFonts w:ascii="Times New Roman" w:hAnsi="Times New Roman"/>
        <w:sz w:val="10"/>
        <w:szCs w:val="10"/>
      </w:rPr>
      <w:instrText xml:space="preserve"> FILENAME \p \* MERGEFORMAT </w:instrText>
    </w:r>
    <w:r w:rsidRPr="0088501C">
      <w:rPr>
        <w:rFonts w:ascii="Times New Roman" w:hAnsi="Times New Roman"/>
        <w:sz w:val="10"/>
        <w:szCs w:val="10"/>
      </w:rPr>
      <w:fldChar w:fldCharType="separate"/>
    </w:r>
    <w:r w:rsidR="00B10FC8">
      <w:rPr>
        <w:rFonts w:ascii="Times New Roman" w:hAnsi="Times New Roman"/>
        <w:noProof/>
        <w:sz w:val="10"/>
        <w:szCs w:val="10"/>
      </w:rPr>
      <w:t>G:\2021\Suddi\II senat\II koleg\26.docx</w:t>
    </w:r>
    <w:r w:rsidRPr="0088501C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21" w:rsidRDefault="00947A21">
      <w:pPr>
        <w:spacing w:after="0" w:line="240" w:lineRule="auto"/>
      </w:pPr>
      <w:r>
        <w:separator/>
      </w:r>
    </w:p>
  </w:footnote>
  <w:footnote w:type="continuationSeparator" w:id="0">
    <w:p w:rsidR="00947A21" w:rsidRDefault="0094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48" w:rsidRPr="00416248" w:rsidRDefault="008E4A25" w:rsidP="00416248">
    <w:pPr>
      <w:pStyle w:val="a4"/>
      <w:jc w:val="center"/>
      <w:rPr>
        <w:rFonts w:ascii="Times New Roman" w:hAnsi="Times New Roman"/>
        <w:sz w:val="28"/>
        <w:szCs w:val="28"/>
      </w:rPr>
    </w:pPr>
    <w:r w:rsidRPr="00416248">
      <w:rPr>
        <w:rFonts w:ascii="Times New Roman" w:hAnsi="Times New Roman"/>
        <w:sz w:val="28"/>
        <w:szCs w:val="28"/>
      </w:rPr>
      <w:fldChar w:fldCharType="begin"/>
    </w:r>
    <w:r w:rsidRPr="00416248">
      <w:rPr>
        <w:rFonts w:ascii="Times New Roman" w:hAnsi="Times New Roman"/>
        <w:sz w:val="28"/>
        <w:szCs w:val="28"/>
      </w:rPr>
      <w:instrText>PAGE   \* MERGEFORMAT</w:instrText>
    </w:r>
    <w:r w:rsidRPr="00416248">
      <w:rPr>
        <w:rFonts w:ascii="Times New Roman" w:hAnsi="Times New Roman"/>
        <w:sz w:val="28"/>
        <w:szCs w:val="28"/>
      </w:rPr>
      <w:fldChar w:fldCharType="separate"/>
    </w:r>
    <w:r w:rsidR="00B767A1" w:rsidRPr="00B767A1">
      <w:rPr>
        <w:rFonts w:ascii="Times New Roman" w:hAnsi="Times New Roman"/>
        <w:noProof/>
        <w:sz w:val="28"/>
        <w:szCs w:val="28"/>
        <w:lang w:val="uk-UA"/>
      </w:rPr>
      <w:t>2</w:t>
    </w:r>
    <w:r w:rsidRPr="0041624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E5"/>
    <w:rsid w:val="00035B5D"/>
    <w:rsid w:val="000A5A9A"/>
    <w:rsid w:val="000F0F0A"/>
    <w:rsid w:val="000F70F2"/>
    <w:rsid w:val="00155403"/>
    <w:rsid w:val="00164377"/>
    <w:rsid w:val="00184907"/>
    <w:rsid w:val="00191217"/>
    <w:rsid w:val="001B68EE"/>
    <w:rsid w:val="001C1463"/>
    <w:rsid w:val="001D025A"/>
    <w:rsid w:val="002553F8"/>
    <w:rsid w:val="00266DBC"/>
    <w:rsid w:val="00274315"/>
    <w:rsid w:val="00280617"/>
    <w:rsid w:val="002B290A"/>
    <w:rsid w:val="002C1F73"/>
    <w:rsid w:val="002D425F"/>
    <w:rsid w:val="002F5043"/>
    <w:rsid w:val="00323AAE"/>
    <w:rsid w:val="0033133C"/>
    <w:rsid w:val="0034238B"/>
    <w:rsid w:val="00352BE7"/>
    <w:rsid w:val="003B1DE5"/>
    <w:rsid w:val="004113A9"/>
    <w:rsid w:val="004A3876"/>
    <w:rsid w:val="00582EA7"/>
    <w:rsid w:val="005C0CA8"/>
    <w:rsid w:val="005D302E"/>
    <w:rsid w:val="005D599F"/>
    <w:rsid w:val="005E2434"/>
    <w:rsid w:val="005F0986"/>
    <w:rsid w:val="0060388E"/>
    <w:rsid w:val="00614BBA"/>
    <w:rsid w:val="006176F4"/>
    <w:rsid w:val="00651D00"/>
    <w:rsid w:val="00671DD9"/>
    <w:rsid w:val="00687428"/>
    <w:rsid w:val="006B341A"/>
    <w:rsid w:val="007115A7"/>
    <w:rsid w:val="00722622"/>
    <w:rsid w:val="00790891"/>
    <w:rsid w:val="00792EED"/>
    <w:rsid w:val="007971B0"/>
    <w:rsid w:val="007B2A04"/>
    <w:rsid w:val="007B4AF0"/>
    <w:rsid w:val="007C725D"/>
    <w:rsid w:val="007D76FA"/>
    <w:rsid w:val="00836929"/>
    <w:rsid w:val="0086435A"/>
    <w:rsid w:val="00867B28"/>
    <w:rsid w:val="0087216F"/>
    <w:rsid w:val="0088501C"/>
    <w:rsid w:val="008B5DEC"/>
    <w:rsid w:val="008C7F0C"/>
    <w:rsid w:val="008E4A25"/>
    <w:rsid w:val="008F0258"/>
    <w:rsid w:val="00947A21"/>
    <w:rsid w:val="0095765B"/>
    <w:rsid w:val="009C5181"/>
    <w:rsid w:val="009D2768"/>
    <w:rsid w:val="00A1390F"/>
    <w:rsid w:val="00A155A9"/>
    <w:rsid w:val="00A30B4F"/>
    <w:rsid w:val="00A547DA"/>
    <w:rsid w:val="00A8456C"/>
    <w:rsid w:val="00AE7401"/>
    <w:rsid w:val="00AF03B7"/>
    <w:rsid w:val="00B10FC8"/>
    <w:rsid w:val="00B32A60"/>
    <w:rsid w:val="00B732E1"/>
    <w:rsid w:val="00B767A1"/>
    <w:rsid w:val="00B768C7"/>
    <w:rsid w:val="00B862C0"/>
    <w:rsid w:val="00BE1BE5"/>
    <w:rsid w:val="00BE592B"/>
    <w:rsid w:val="00C62FBD"/>
    <w:rsid w:val="00C71DC8"/>
    <w:rsid w:val="00C91411"/>
    <w:rsid w:val="00CB2708"/>
    <w:rsid w:val="00CE0FCF"/>
    <w:rsid w:val="00D70D21"/>
    <w:rsid w:val="00DB495A"/>
    <w:rsid w:val="00DD2247"/>
    <w:rsid w:val="00E14C31"/>
    <w:rsid w:val="00E33DD6"/>
    <w:rsid w:val="00E33F38"/>
    <w:rsid w:val="00E67EC4"/>
    <w:rsid w:val="00E85AB1"/>
    <w:rsid w:val="00E8679C"/>
    <w:rsid w:val="00EB65AA"/>
    <w:rsid w:val="00EC74F2"/>
    <w:rsid w:val="00F64F0E"/>
    <w:rsid w:val="00FD640D"/>
    <w:rsid w:val="00FE2E39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82A24-FAF6-44BD-BA77-3BC8D4B5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A7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3B1DE5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DE5"/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3B1DE5"/>
    <w:pPr>
      <w:ind w:left="720"/>
      <w:contextualSpacing/>
    </w:pPr>
  </w:style>
  <w:style w:type="paragraph" w:styleId="a4">
    <w:name w:val="header"/>
    <w:basedOn w:val="a"/>
    <w:link w:val="a5"/>
    <w:unhideWhenUsed/>
    <w:rsid w:val="003B1DE5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5">
    <w:name w:val="Верхній колонтитул Знак"/>
    <w:basedOn w:val="a0"/>
    <w:link w:val="a4"/>
    <w:rsid w:val="003B1DE5"/>
    <w:rPr>
      <w:rFonts w:ascii="Calibri" w:eastAsia="Calibri" w:hAnsi="Calibri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3B1DE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B1DE5"/>
    <w:rPr>
      <w:rFonts w:ascii="Calibri" w:eastAsia="Calibri" w:hAnsi="Calibri" w:cs="Times New Roman"/>
      <w:sz w:val="22"/>
    </w:rPr>
  </w:style>
  <w:style w:type="paragraph" w:customStyle="1" w:styleId="11">
    <w:name w:val="Абзац списка1"/>
    <w:basedOn w:val="a"/>
    <w:rsid w:val="003B1DE5"/>
    <w:pPr>
      <w:ind w:left="720"/>
    </w:pPr>
    <w:rPr>
      <w:rFonts w:eastAsia="Times New Roman"/>
    </w:rPr>
  </w:style>
  <w:style w:type="paragraph" w:customStyle="1" w:styleId="12">
    <w:name w:val="Абзац списку1"/>
    <w:basedOn w:val="a"/>
    <w:rsid w:val="003B1DE5"/>
    <w:pPr>
      <w:ind w:left="720"/>
    </w:pPr>
    <w:rPr>
      <w:rFonts w:eastAsia="Times New Roman"/>
    </w:rPr>
  </w:style>
  <w:style w:type="paragraph" w:customStyle="1" w:styleId="rvps2">
    <w:name w:val="rvps2"/>
    <w:basedOn w:val="a"/>
    <w:rsid w:val="00AE7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C466-CF87-4BCE-8060-549BB211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5406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2021-05-20T07:10:00Z</cp:lastPrinted>
  <dcterms:created xsi:type="dcterms:W3CDTF">2023-08-30T07:14:00Z</dcterms:created>
  <dcterms:modified xsi:type="dcterms:W3CDTF">2023-08-30T07:14:00Z</dcterms:modified>
</cp:coreProperties>
</file>