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3B47B" w14:textId="29E260A3" w:rsidR="001E0BA2" w:rsidRPr="00552830" w:rsidRDefault="002C7580" w:rsidP="00552830">
      <w:pPr>
        <w:jc w:val="both"/>
        <w:rPr>
          <w:rFonts w:ascii="Times New Roman" w:hAnsi="Times New Roman" w:cs="Times New Roman"/>
          <w:b/>
          <w:bCs/>
          <w:sz w:val="28"/>
          <w:szCs w:val="28"/>
          <w:lang w:val="en-US"/>
        </w:rPr>
      </w:pPr>
      <w:r w:rsidRPr="00552830">
        <w:rPr>
          <w:rFonts w:ascii="Times New Roman" w:hAnsi="Times New Roman" w:cs="Times New Roman"/>
          <w:b/>
          <w:bCs/>
          <w:sz w:val="28"/>
          <w:szCs w:val="28"/>
          <w:lang w:val="en-US"/>
        </w:rPr>
        <w:t xml:space="preserve">Summary to the </w:t>
      </w:r>
      <w:r w:rsidR="001E0BA2" w:rsidRPr="00552830">
        <w:rPr>
          <w:rFonts w:ascii="Times New Roman" w:hAnsi="Times New Roman" w:cs="Times New Roman"/>
          <w:b/>
          <w:bCs/>
          <w:sz w:val="28"/>
          <w:szCs w:val="28"/>
          <w:lang w:val="en-US"/>
        </w:rPr>
        <w:t>Decision of the Second Senate of the Constitutional Court of Ukraine No. 6-r(II)/2022</w:t>
      </w:r>
      <w:r w:rsidR="00AF0E8B" w:rsidRPr="00552830">
        <w:rPr>
          <w:rFonts w:ascii="Times New Roman" w:hAnsi="Times New Roman" w:cs="Times New Roman"/>
          <w:b/>
          <w:bCs/>
          <w:sz w:val="28"/>
          <w:szCs w:val="28"/>
          <w:lang w:val="en-US"/>
        </w:rPr>
        <w:t xml:space="preserve"> of June 22, 2022</w:t>
      </w:r>
      <w:r w:rsidR="00552830" w:rsidRPr="00552830">
        <w:rPr>
          <w:rFonts w:ascii="Times New Roman" w:hAnsi="Times New Roman" w:cs="Times New Roman"/>
          <w:b/>
          <w:bCs/>
          <w:sz w:val="28"/>
          <w:szCs w:val="28"/>
          <w:lang w:val="en-US"/>
        </w:rPr>
        <w:t xml:space="preserve"> in the case upon the constitutional complaint of </w:t>
      </w:r>
      <w:r w:rsidR="00552830" w:rsidRPr="00552830">
        <w:rPr>
          <w:rFonts w:ascii="Times New Roman" w:hAnsi="Times New Roman" w:cs="Times New Roman"/>
          <w:b/>
          <w:sz w:val="28"/>
          <w:szCs w:val="28"/>
          <w:lang w:val="en-US"/>
        </w:rPr>
        <w:t>Joint Stock Company “The State Savings Bank of Ukraine”</w:t>
      </w:r>
      <w:r w:rsidR="00552830" w:rsidRPr="00552830">
        <w:rPr>
          <w:rFonts w:ascii="Times New Roman" w:hAnsi="Times New Roman" w:cs="Times New Roman"/>
          <w:b/>
          <w:sz w:val="28"/>
          <w:szCs w:val="28"/>
          <w:lang w:val="en-US"/>
        </w:rPr>
        <w:t xml:space="preserve"> on conformity of the requirement of the first sentence of Article 1050.1 of the Civil Code of Ukraine</w:t>
      </w:r>
    </w:p>
    <w:p w14:paraId="23EC33D2" w14:textId="77777777" w:rsidR="00552830" w:rsidRDefault="00552830" w:rsidP="008F65DC">
      <w:pPr>
        <w:spacing w:line="276" w:lineRule="auto"/>
        <w:ind w:firstLine="709"/>
        <w:jc w:val="both"/>
        <w:rPr>
          <w:rFonts w:ascii="Times New Roman" w:hAnsi="Times New Roman" w:cs="Times New Roman"/>
          <w:sz w:val="28"/>
          <w:szCs w:val="28"/>
          <w:lang w:val="en-US"/>
        </w:rPr>
      </w:pPr>
    </w:p>
    <w:p w14:paraId="11183080" w14:textId="51A2E684" w:rsidR="00AF0E8B" w:rsidRDefault="00AF0E8B" w:rsidP="008F65DC">
      <w:pPr>
        <w:spacing w:line="276" w:lineRule="auto"/>
        <w:ind w:firstLine="709"/>
        <w:jc w:val="both"/>
        <w:rPr>
          <w:rFonts w:ascii="Times New Roman" w:hAnsi="Times New Roman" w:cs="Times New Roman"/>
          <w:sz w:val="28"/>
          <w:szCs w:val="28"/>
          <w:lang w:val="en-US"/>
        </w:rPr>
      </w:pPr>
      <w:proofErr w:type="gramStart"/>
      <w:r w:rsidRPr="00AF0E8B">
        <w:rPr>
          <w:rFonts w:ascii="Times New Roman" w:hAnsi="Times New Roman" w:cs="Times New Roman"/>
          <w:sz w:val="28"/>
          <w:szCs w:val="28"/>
          <w:lang w:val="en-US"/>
        </w:rPr>
        <w:t>Joint Stock Company “The State Savings Bank of Ukraine” (hereinafter referred to as the Bank) requested the Constitutional Court of Ukraine to review the constitutionality of the provision of the first sentence of Article 1050.1 of the Civil Code of Ukraine (hereina</w:t>
      </w:r>
      <w:bookmarkStart w:id="0" w:name="_GoBack"/>
      <w:bookmarkEnd w:id="0"/>
      <w:r w:rsidRPr="00AF0E8B">
        <w:rPr>
          <w:rFonts w:ascii="Times New Roman" w:hAnsi="Times New Roman" w:cs="Times New Roman"/>
          <w:sz w:val="28"/>
          <w:szCs w:val="28"/>
          <w:lang w:val="en-US"/>
        </w:rPr>
        <w:t>fter referred to as the Code), under which “in</w:t>
      </w:r>
      <w:r>
        <w:rPr>
          <w:rFonts w:ascii="Times New Roman" w:hAnsi="Times New Roman" w:cs="Times New Roman"/>
          <w:sz w:val="28"/>
          <w:szCs w:val="28"/>
          <w:lang w:val="en-US"/>
        </w:rPr>
        <w:t xml:space="preserve"> </w:t>
      </w:r>
      <w:r w:rsidRPr="00AF0E8B">
        <w:rPr>
          <w:rFonts w:ascii="Times New Roman" w:hAnsi="Times New Roman" w:cs="Times New Roman"/>
          <w:sz w:val="28"/>
          <w:szCs w:val="28"/>
          <w:lang w:val="en-US"/>
        </w:rPr>
        <w:t>case the borrower fails to repay the credit amount in a timely manner, he/she is obliged to pay the amount of money in accordance with Article 625 of this Code”.</w:t>
      </w:r>
      <w:proofErr w:type="gramEnd"/>
    </w:p>
    <w:p w14:paraId="71723ACE" w14:textId="13C1A9C1" w:rsidR="00AF0E8B" w:rsidRDefault="00F34A2D" w:rsidP="008F65DC">
      <w:pPr>
        <w:spacing w:line="276" w:lineRule="auto"/>
        <w:ind w:firstLine="709"/>
        <w:jc w:val="both"/>
        <w:rPr>
          <w:rFonts w:ascii="Times New Roman" w:hAnsi="Times New Roman" w:cs="Times New Roman"/>
          <w:sz w:val="28"/>
          <w:szCs w:val="28"/>
          <w:lang w:val="en-US"/>
        </w:rPr>
      </w:pPr>
      <w:r w:rsidRPr="00F34A2D">
        <w:rPr>
          <w:rFonts w:ascii="Times New Roman" w:hAnsi="Times New Roman" w:cs="Times New Roman"/>
          <w:sz w:val="28"/>
          <w:szCs w:val="28"/>
          <w:lang w:val="en-US"/>
        </w:rPr>
        <w:t xml:space="preserve">The Constitutional Court observes that in terms of property relations, the main duty of the state is to ensure the protection of the rights of all subjects of ownership. One of the mechanisms for ensuring such </w:t>
      </w:r>
      <w:r w:rsidR="00E74813">
        <w:rPr>
          <w:rFonts w:ascii="Times New Roman" w:hAnsi="Times New Roman" w:cs="Times New Roman"/>
          <w:sz w:val="28"/>
          <w:szCs w:val="28"/>
          <w:lang w:val="en-US"/>
        </w:rPr>
        <w:t xml:space="preserve">a </w:t>
      </w:r>
      <w:r w:rsidRPr="00F34A2D">
        <w:rPr>
          <w:rFonts w:ascii="Times New Roman" w:hAnsi="Times New Roman" w:cs="Times New Roman"/>
          <w:sz w:val="28"/>
          <w:szCs w:val="28"/>
          <w:lang w:val="en-US"/>
        </w:rPr>
        <w:t>protection is a legislative arrangement, within which, particular</w:t>
      </w:r>
      <w:r w:rsidR="00E74813">
        <w:rPr>
          <w:rFonts w:ascii="Times New Roman" w:hAnsi="Times New Roman" w:cs="Times New Roman"/>
          <w:sz w:val="28"/>
          <w:szCs w:val="28"/>
          <w:lang w:val="en-US"/>
        </w:rPr>
        <w:t>ly</w:t>
      </w:r>
      <w:r w:rsidRPr="00F34A2D">
        <w:rPr>
          <w:rFonts w:ascii="Times New Roman" w:hAnsi="Times New Roman" w:cs="Times New Roman"/>
          <w:sz w:val="28"/>
          <w:szCs w:val="28"/>
          <w:lang w:val="en-US"/>
        </w:rPr>
        <w:t>, the grounds for the emergence and cease of property rights, cases of lawful restriction of property rights, the grounds and procedure for exercising such a restriction are clearly and exhaustively established.</w:t>
      </w:r>
      <w:r w:rsidR="00EE7F33" w:rsidRPr="00EE7F33">
        <w:t xml:space="preserve"> </w:t>
      </w:r>
      <w:r w:rsidR="00EE7F33" w:rsidRPr="00EE7F33">
        <w:rPr>
          <w:rFonts w:ascii="Times New Roman" w:hAnsi="Times New Roman" w:cs="Times New Roman"/>
          <w:sz w:val="28"/>
          <w:szCs w:val="28"/>
          <w:lang w:val="en-US"/>
        </w:rPr>
        <w:t>The Constitutional Court of Ukraine noted that the prescribed provision</w:t>
      </w:r>
      <w:r w:rsidR="00EE7F33">
        <w:rPr>
          <w:rFonts w:ascii="Times New Roman" w:hAnsi="Times New Roman" w:cs="Times New Roman"/>
          <w:sz w:val="28"/>
          <w:szCs w:val="28"/>
          <w:lang w:val="en-US"/>
        </w:rPr>
        <w:t xml:space="preserve"> </w:t>
      </w:r>
      <w:r w:rsidR="00EE7F33" w:rsidRPr="00EE7F33">
        <w:rPr>
          <w:rFonts w:ascii="Times New Roman" w:hAnsi="Times New Roman" w:cs="Times New Roman"/>
          <w:sz w:val="28"/>
          <w:szCs w:val="28"/>
          <w:lang w:val="en-US"/>
        </w:rPr>
        <w:t>of Article 41 of the Constitution of Ukraine defines the triad of the owner’s</w:t>
      </w:r>
      <w:r w:rsidR="00EE7F33">
        <w:rPr>
          <w:rFonts w:ascii="Times New Roman" w:hAnsi="Times New Roman" w:cs="Times New Roman"/>
          <w:sz w:val="28"/>
          <w:szCs w:val="28"/>
          <w:lang w:val="en-US"/>
        </w:rPr>
        <w:t xml:space="preserve"> </w:t>
      </w:r>
      <w:r w:rsidR="00EE7F33" w:rsidRPr="00EE7F33">
        <w:rPr>
          <w:rFonts w:ascii="Times New Roman" w:hAnsi="Times New Roman" w:cs="Times New Roman"/>
          <w:sz w:val="28"/>
          <w:szCs w:val="28"/>
          <w:lang w:val="en-US"/>
        </w:rPr>
        <w:t>powers: possession, use, disposal, which he/she exercises in relation to certain</w:t>
      </w:r>
      <w:r w:rsidR="00EE7F33">
        <w:rPr>
          <w:rFonts w:ascii="Times New Roman" w:hAnsi="Times New Roman" w:cs="Times New Roman"/>
          <w:sz w:val="28"/>
          <w:szCs w:val="28"/>
          <w:lang w:val="en-US"/>
        </w:rPr>
        <w:t xml:space="preserve"> </w:t>
      </w:r>
      <w:r w:rsidR="00EE7F33" w:rsidRPr="00EE7F33">
        <w:rPr>
          <w:rFonts w:ascii="Times New Roman" w:hAnsi="Times New Roman" w:cs="Times New Roman"/>
          <w:sz w:val="28"/>
          <w:szCs w:val="28"/>
          <w:lang w:val="en-US"/>
        </w:rPr>
        <w:t>property</w:t>
      </w:r>
      <w:r w:rsidR="00E74813">
        <w:rPr>
          <w:rFonts w:ascii="Times New Roman" w:hAnsi="Times New Roman" w:cs="Times New Roman"/>
          <w:sz w:val="28"/>
          <w:szCs w:val="28"/>
          <w:lang w:val="en-US"/>
        </w:rPr>
        <w:t>,</w:t>
      </w:r>
      <w:r w:rsidR="00EE7F33" w:rsidRPr="00EE7F33">
        <w:rPr>
          <w:rFonts w:ascii="Times New Roman" w:hAnsi="Times New Roman" w:cs="Times New Roman"/>
          <w:sz w:val="28"/>
          <w:szCs w:val="28"/>
          <w:lang w:val="en-US"/>
        </w:rPr>
        <w:t xml:space="preserve"> belonging to him/her on one or another legal basis, therefore, in the</w:t>
      </w:r>
      <w:r w:rsidR="00EE7F33">
        <w:rPr>
          <w:rFonts w:ascii="Times New Roman" w:hAnsi="Times New Roman" w:cs="Times New Roman"/>
          <w:sz w:val="28"/>
          <w:szCs w:val="28"/>
          <w:lang w:val="en-US"/>
        </w:rPr>
        <w:t xml:space="preserve"> </w:t>
      </w:r>
      <w:r w:rsidR="00EE7F33" w:rsidRPr="00EE7F33">
        <w:rPr>
          <w:rFonts w:ascii="Times New Roman" w:hAnsi="Times New Roman" w:cs="Times New Roman"/>
          <w:sz w:val="28"/>
          <w:szCs w:val="28"/>
          <w:lang w:val="en-US"/>
        </w:rPr>
        <w:t>understanding of this provision, the property, which everyone has the right to</w:t>
      </w:r>
      <w:r w:rsidR="00EE7F33">
        <w:rPr>
          <w:rFonts w:ascii="Times New Roman" w:hAnsi="Times New Roman" w:cs="Times New Roman"/>
          <w:sz w:val="28"/>
          <w:szCs w:val="28"/>
          <w:lang w:val="en-US"/>
        </w:rPr>
        <w:t xml:space="preserve"> </w:t>
      </w:r>
      <w:r w:rsidR="00EE7F33" w:rsidRPr="00EE7F33">
        <w:rPr>
          <w:rFonts w:ascii="Times New Roman" w:hAnsi="Times New Roman" w:cs="Times New Roman"/>
          <w:sz w:val="28"/>
          <w:szCs w:val="28"/>
          <w:lang w:val="en-US"/>
        </w:rPr>
        <w:t xml:space="preserve">own, use and dispose, </w:t>
      </w:r>
      <w:r w:rsidR="00CA2AFF">
        <w:rPr>
          <w:rFonts w:ascii="Times New Roman" w:hAnsi="Times New Roman" w:cs="Times New Roman"/>
          <w:sz w:val="28"/>
          <w:szCs w:val="28"/>
          <w:lang w:val="en-US"/>
        </w:rPr>
        <w:t>relates</w:t>
      </w:r>
      <w:r w:rsidR="00EE7F33" w:rsidRPr="00EE7F33">
        <w:rPr>
          <w:rFonts w:ascii="Times New Roman" w:hAnsi="Times New Roman" w:cs="Times New Roman"/>
          <w:sz w:val="28"/>
          <w:szCs w:val="28"/>
          <w:lang w:val="en-US"/>
        </w:rPr>
        <w:t xml:space="preserve"> to property. Accordingly, the constitutional</w:t>
      </w:r>
      <w:r w:rsidR="00EE7F33">
        <w:rPr>
          <w:rFonts w:ascii="Times New Roman" w:hAnsi="Times New Roman" w:cs="Times New Roman"/>
          <w:sz w:val="28"/>
          <w:szCs w:val="28"/>
          <w:lang w:val="en-US"/>
        </w:rPr>
        <w:t xml:space="preserve"> </w:t>
      </w:r>
      <w:r w:rsidR="00EE7F33" w:rsidRPr="00EE7F33">
        <w:rPr>
          <w:rFonts w:ascii="Times New Roman" w:hAnsi="Times New Roman" w:cs="Times New Roman"/>
          <w:sz w:val="28"/>
          <w:szCs w:val="28"/>
          <w:lang w:val="en-US"/>
        </w:rPr>
        <w:t>imperative on the inviolability of the right of private property is primarily aimed</w:t>
      </w:r>
      <w:r w:rsidR="00EE7F33">
        <w:rPr>
          <w:rFonts w:ascii="Times New Roman" w:hAnsi="Times New Roman" w:cs="Times New Roman"/>
          <w:sz w:val="28"/>
          <w:szCs w:val="28"/>
          <w:lang w:val="en-US"/>
        </w:rPr>
        <w:t xml:space="preserve"> </w:t>
      </w:r>
      <w:r w:rsidR="00EE7F33" w:rsidRPr="00EE7F33">
        <w:rPr>
          <w:rFonts w:ascii="Times New Roman" w:hAnsi="Times New Roman" w:cs="Times New Roman"/>
          <w:sz w:val="28"/>
          <w:szCs w:val="28"/>
          <w:lang w:val="en-US"/>
        </w:rPr>
        <w:t>at protecting the owner from an unlawful interference in the exercise of his/her</w:t>
      </w:r>
      <w:r w:rsidR="00EE7F33">
        <w:rPr>
          <w:rFonts w:ascii="Times New Roman" w:hAnsi="Times New Roman" w:cs="Times New Roman"/>
          <w:sz w:val="28"/>
          <w:szCs w:val="28"/>
          <w:lang w:val="en-US"/>
        </w:rPr>
        <w:t xml:space="preserve"> </w:t>
      </w:r>
      <w:r w:rsidR="00EE7F33" w:rsidRPr="00EE7F33">
        <w:rPr>
          <w:rFonts w:ascii="Times New Roman" w:hAnsi="Times New Roman" w:cs="Times New Roman"/>
          <w:sz w:val="28"/>
          <w:szCs w:val="28"/>
          <w:lang w:val="en-US"/>
        </w:rPr>
        <w:t>rights to own, use and dispose the property belonging to him/her freely and at</w:t>
      </w:r>
      <w:r w:rsidR="00EE7F33">
        <w:rPr>
          <w:rFonts w:ascii="Times New Roman" w:hAnsi="Times New Roman" w:cs="Times New Roman"/>
          <w:sz w:val="28"/>
          <w:szCs w:val="28"/>
          <w:lang w:val="en-US"/>
        </w:rPr>
        <w:t xml:space="preserve"> </w:t>
      </w:r>
      <w:r w:rsidR="00EE7F33" w:rsidRPr="00EE7F33">
        <w:rPr>
          <w:rFonts w:ascii="Times New Roman" w:hAnsi="Times New Roman" w:cs="Times New Roman"/>
          <w:sz w:val="28"/>
          <w:szCs w:val="28"/>
          <w:lang w:val="en-US"/>
        </w:rPr>
        <w:t>his/her own discretion.</w:t>
      </w:r>
    </w:p>
    <w:p w14:paraId="2B937395" w14:textId="0799FCCD" w:rsidR="00EE7F33" w:rsidRDefault="00EE7F33" w:rsidP="008F65DC">
      <w:pPr>
        <w:spacing w:line="276" w:lineRule="auto"/>
        <w:ind w:firstLine="709"/>
        <w:jc w:val="both"/>
        <w:rPr>
          <w:rFonts w:ascii="Times New Roman" w:hAnsi="Times New Roman" w:cs="Times New Roman"/>
          <w:sz w:val="28"/>
          <w:szCs w:val="28"/>
          <w:lang w:val="en-US"/>
        </w:rPr>
      </w:pPr>
      <w:r w:rsidRPr="00EE7F33">
        <w:rPr>
          <w:rFonts w:ascii="Times New Roman" w:hAnsi="Times New Roman" w:cs="Times New Roman"/>
          <w:sz w:val="28"/>
          <w:szCs w:val="28"/>
          <w:lang w:val="en-US"/>
        </w:rPr>
        <w:t>During the credit period specified in the Credit Agreement, as well as during 2015-2017, when the Bank within judicial proceedings collected from the Borrower and the Guarantor the debt under the Credit Agreement, in particular interest for the use of the credit</w:t>
      </w:r>
      <w:r w:rsidR="00CA2AFF">
        <w:rPr>
          <w:rFonts w:ascii="Times New Roman" w:hAnsi="Times New Roman" w:cs="Times New Roman"/>
          <w:sz w:val="28"/>
          <w:szCs w:val="28"/>
          <w:lang w:val="en-US"/>
        </w:rPr>
        <w:t>,</w:t>
      </w:r>
      <w:r w:rsidRPr="00EE7F33">
        <w:rPr>
          <w:rFonts w:ascii="Times New Roman" w:hAnsi="Times New Roman" w:cs="Times New Roman"/>
          <w:sz w:val="28"/>
          <w:szCs w:val="28"/>
          <w:lang w:val="en-US"/>
        </w:rPr>
        <w:t xml:space="preserve"> accrued after the date of its repayment, there was stable case law on the permissibility of collecting interest for the credit usage, accrued for the overdue period, that is after the date of the credit repayment until the day of its actual return.</w:t>
      </w:r>
    </w:p>
    <w:p w14:paraId="66121276" w14:textId="6BA34CF2" w:rsidR="00EE7F33" w:rsidRDefault="002B233E" w:rsidP="008F65DC">
      <w:pPr>
        <w:spacing w:line="276" w:lineRule="auto"/>
        <w:ind w:firstLine="709"/>
        <w:jc w:val="both"/>
        <w:rPr>
          <w:rFonts w:ascii="Times New Roman" w:hAnsi="Times New Roman" w:cs="Times New Roman"/>
          <w:sz w:val="28"/>
          <w:szCs w:val="28"/>
          <w:lang w:val="en-US"/>
        </w:rPr>
      </w:pPr>
      <w:r w:rsidRPr="002B233E">
        <w:rPr>
          <w:rFonts w:ascii="Times New Roman" w:hAnsi="Times New Roman" w:cs="Times New Roman"/>
          <w:sz w:val="28"/>
          <w:szCs w:val="28"/>
          <w:lang w:val="en-US"/>
        </w:rPr>
        <w:t xml:space="preserve">Ensuring stability and unity of </w:t>
      </w:r>
      <w:r w:rsidR="00CA2AFF">
        <w:rPr>
          <w:rFonts w:ascii="Times New Roman" w:hAnsi="Times New Roman" w:cs="Times New Roman"/>
          <w:sz w:val="28"/>
          <w:szCs w:val="28"/>
          <w:lang w:val="en-US"/>
        </w:rPr>
        <w:t xml:space="preserve">a </w:t>
      </w:r>
      <w:r w:rsidRPr="002B233E">
        <w:rPr>
          <w:rFonts w:ascii="Times New Roman" w:hAnsi="Times New Roman" w:cs="Times New Roman"/>
          <w:sz w:val="28"/>
          <w:szCs w:val="28"/>
          <w:lang w:val="en-US"/>
        </w:rPr>
        <w:t xml:space="preserve">case law is a fundamental function of the Supreme Court (Article 36.1 of the Law </w:t>
      </w:r>
      <w:r w:rsidR="00CA2AFF">
        <w:rPr>
          <w:rFonts w:ascii="Times New Roman" w:hAnsi="Times New Roman" w:cs="Times New Roman"/>
          <w:sz w:val="28"/>
          <w:szCs w:val="28"/>
          <w:lang w:val="en-US"/>
        </w:rPr>
        <w:t>“</w:t>
      </w:r>
      <w:r w:rsidRPr="002B233E">
        <w:rPr>
          <w:rFonts w:ascii="Times New Roman" w:hAnsi="Times New Roman" w:cs="Times New Roman"/>
          <w:sz w:val="28"/>
          <w:szCs w:val="28"/>
          <w:lang w:val="en-US"/>
        </w:rPr>
        <w:t xml:space="preserve">On the Judiciary and the Status of </w:t>
      </w:r>
      <w:r w:rsidRPr="002B233E">
        <w:rPr>
          <w:rFonts w:ascii="Times New Roman" w:hAnsi="Times New Roman" w:cs="Times New Roman"/>
          <w:sz w:val="28"/>
          <w:szCs w:val="28"/>
          <w:lang w:val="en-US"/>
        </w:rPr>
        <w:lastRenderedPageBreak/>
        <w:t>Judges</w:t>
      </w:r>
      <w:r w:rsidR="00CA2AFF">
        <w:rPr>
          <w:rFonts w:ascii="Times New Roman" w:hAnsi="Times New Roman" w:cs="Times New Roman"/>
          <w:sz w:val="28"/>
          <w:szCs w:val="28"/>
          <w:lang w:val="en-US"/>
        </w:rPr>
        <w:t>”</w:t>
      </w:r>
      <w:r w:rsidRPr="002B233E">
        <w:rPr>
          <w:rFonts w:ascii="Times New Roman" w:hAnsi="Times New Roman" w:cs="Times New Roman"/>
          <w:sz w:val="28"/>
          <w:szCs w:val="28"/>
          <w:lang w:val="en-US"/>
        </w:rPr>
        <w:t>), which can be performed by another state authority, in particular the Constitutional Court.</w:t>
      </w:r>
    </w:p>
    <w:p w14:paraId="3ACEFEE0" w14:textId="3F5D5B5A" w:rsidR="002B233E" w:rsidRDefault="00DD2E99" w:rsidP="008F65DC">
      <w:pPr>
        <w:spacing w:line="276" w:lineRule="auto"/>
        <w:ind w:firstLine="709"/>
        <w:jc w:val="both"/>
        <w:rPr>
          <w:rFonts w:ascii="Times New Roman" w:hAnsi="Times New Roman" w:cs="Times New Roman"/>
          <w:sz w:val="28"/>
          <w:szCs w:val="28"/>
          <w:lang w:val="en-US"/>
        </w:rPr>
      </w:pPr>
      <w:proofErr w:type="gramStart"/>
      <w:r w:rsidRPr="00DD2E99">
        <w:rPr>
          <w:rFonts w:ascii="Times New Roman" w:hAnsi="Times New Roman" w:cs="Times New Roman"/>
          <w:sz w:val="28"/>
          <w:szCs w:val="28"/>
          <w:lang w:val="en-US"/>
        </w:rPr>
        <w:t xml:space="preserve">Guided by the principle of </w:t>
      </w:r>
      <w:proofErr w:type="spellStart"/>
      <w:r w:rsidRPr="00CA2AFF">
        <w:rPr>
          <w:rFonts w:ascii="Times New Roman" w:hAnsi="Times New Roman" w:cs="Times New Roman"/>
          <w:i/>
          <w:iCs/>
          <w:sz w:val="28"/>
          <w:szCs w:val="28"/>
          <w:lang w:val="en-US"/>
        </w:rPr>
        <w:t>pacta</w:t>
      </w:r>
      <w:proofErr w:type="spellEnd"/>
      <w:r w:rsidRPr="00CA2AFF">
        <w:rPr>
          <w:rFonts w:ascii="Times New Roman" w:hAnsi="Times New Roman" w:cs="Times New Roman"/>
          <w:i/>
          <w:iCs/>
          <w:sz w:val="28"/>
          <w:szCs w:val="28"/>
          <w:lang w:val="en-US"/>
        </w:rPr>
        <w:t xml:space="preserve"> </w:t>
      </w:r>
      <w:proofErr w:type="spellStart"/>
      <w:r w:rsidRPr="00CA2AFF">
        <w:rPr>
          <w:rFonts w:ascii="Times New Roman" w:hAnsi="Times New Roman" w:cs="Times New Roman"/>
          <w:i/>
          <w:iCs/>
          <w:sz w:val="28"/>
          <w:szCs w:val="28"/>
          <w:lang w:val="en-US"/>
        </w:rPr>
        <w:t>sunt</w:t>
      </w:r>
      <w:proofErr w:type="spellEnd"/>
      <w:r w:rsidRPr="00CA2AFF">
        <w:rPr>
          <w:rFonts w:ascii="Times New Roman" w:hAnsi="Times New Roman" w:cs="Times New Roman"/>
          <w:i/>
          <w:iCs/>
          <w:sz w:val="28"/>
          <w:szCs w:val="28"/>
          <w:lang w:val="en-US"/>
        </w:rPr>
        <w:t xml:space="preserve"> </w:t>
      </w:r>
      <w:proofErr w:type="spellStart"/>
      <w:r w:rsidRPr="00CA2AFF">
        <w:rPr>
          <w:rFonts w:ascii="Times New Roman" w:hAnsi="Times New Roman" w:cs="Times New Roman"/>
          <w:i/>
          <w:iCs/>
          <w:sz w:val="28"/>
          <w:szCs w:val="28"/>
          <w:lang w:val="en-US"/>
        </w:rPr>
        <w:t>servanda</w:t>
      </w:r>
      <w:proofErr w:type="spellEnd"/>
      <w:r w:rsidRPr="00DD2E99">
        <w:rPr>
          <w:rFonts w:ascii="Times New Roman" w:hAnsi="Times New Roman" w:cs="Times New Roman"/>
          <w:sz w:val="28"/>
          <w:szCs w:val="28"/>
          <w:lang w:val="en-US"/>
        </w:rPr>
        <w:t xml:space="preserve"> (agreements must be kept), taking into account the provisions of Article 190.1, Article 1048.1.2 of the Code, the established case law of national courts on the legality of collecting interest for the credit usage, accrued for an overdue period (which remained stable during 2011-2017), the Constitutional Court of Ukraine concluded that as at the time of the credit agreement, and during certain credit period, the Bank had legitimate expectations to receive interest for the use of funds before the date of credit repayment, and therefore the right of the Bank to pay such interest is deemed to be a property and, accordingly, is the item subject to ownership, protection of which is guaranteed by Article 41 of the Constitution.</w:t>
      </w:r>
      <w:proofErr w:type="gramEnd"/>
    </w:p>
    <w:p w14:paraId="7CE530AF" w14:textId="77777777" w:rsidR="005C1D47" w:rsidRDefault="00457041" w:rsidP="008F65DC">
      <w:pPr>
        <w:spacing w:line="276" w:lineRule="auto"/>
        <w:ind w:firstLine="709"/>
        <w:jc w:val="both"/>
        <w:rPr>
          <w:rFonts w:ascii="Times New Roman" w:hAnsi="Times New Roman" w:cs="Times New Roman"/>
          <w:sz w:val="28"/>
          <w:szCs w:val="28"/>
          <w:lang w:val="en-US"/>
        </w:rPr>
      </w:pPr>
      <w:r w:rsidRPr="00457041">
        <w:rPr>
          <w:rFonts w:ascii="Times New Roman" w:hAnsi="Times New Roman" w:cs="Times New Roman"/>
          <w:sz w:val="28"/>
          <w:szCs w:val="28"/>
          <w:lang w:val="en-US"/>
        </w:rPr>
        <w:t xml:space="preserve">The provisions of Article 1050 of the Code stipulate the consequences of a breach of the agreement terms by the borrower. Particularly, the impugned provision of Article 1050 of the Code determines that in case the borrower fails to repay the credit amount in a timely manner, he/she is obliged to pay the amount of money in accordance with Article 625 of this Code. </w:t>
      </w:r>
    </w:p>
    <w:p w14:paraId="6B1B22F4" w14:textId="0EF56570" w:rsidR="00DD2E99" w:rsidRDefault="00457041" w:rsidP="008F65DC">
      <w:pPr>
        <w:spacing w:line="276" w:lineRule="auto"/>
        <w:ind w:firstLine="709"/>
        <w:jc w:val="both"/>
        <w:rPr>
          <w:rFonts w:ascii="Times New Roman" w:hAnsi="Times New Roman" w:cs="Times New Roman"/>
          <w:sz w:val="28"/>
          <w:szCs w:val="28"/>
          <w:lang w:val="en-US"/>
        </w:rPr>
      </w:pPr>
      <w:r w:rsidRPr="00457041">
        <w:rPr>
          <w:rFonts w:ascii="Times New Roman" w:hAnsi="Times New Roman" w:cs="Times New Roman"/>
          <w:sz w:val="28"/>
          <w:szCs w:val="28"/>
          <w:lang w:val="en-US"/>
        </w:rPr>
        <w:t xml:space="preserve">The Constitutional Court </w:t>
      </w:r>
      <w:r w:rsidR="00552830">
        <w:rPr>
          <w:rFonts w:ascii="Times New Roman" w:hAnsi="Times New Roman" w:cs="Times New Roman"/>
          <w:sz w:val="28"/>
          <w:szCs w:val="28"/>
          <w:lang w:val="en-US"/>
        </w:rPr>
        <w:t xml:space="preserve">stresses </w:t>
      </w:r>
      <w:r w:rsidRPr="00457041">
        <w:rPr>
          <w:rFonts w:ascii="Times New Roman" w:hAnsi="Times New Roman" w:cs="Times New Roman"/>
          <w:sz w:val="28"/>
          <w:szCs w:val="28"/>
          <w:lang w:val="en-US"/>
        </w:rPr>
        <w:t>that this norm is a reference one, therefore its interpretation and application immanently require the application of the norm of the Code, to which there is a direct reference in the first sentence of Article 1050.1 of the Code.</w:t>
      </w:r>
    </w:p>
    <w:p w14:paraId="3578FEF4" w14:textId="3CA47BDB" w:rsidR="00457041" w:rsidRDefault="00723830" w:rsidP="008F65DC">
      <w:pPr>
        <w:spacing w:line="27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analysis of</w:t>
      </w:r>
      <w:r w:rsidRPr="00723830">
        <w:rPr>
          <w:rFonts w:ascii="Times New Roman" w:hAnsi="Times New Roman" w:cs="Times New Roman"/>
          <w:sz w:val="28"/>
          <w:szCs w:val="28"/>
          <w:lang w:val="en-US"/>
        </w:rPr>
        <w:t xml:space="preserve"> the scope of application of the provisions of Articles 625</w:t>
      </w:r>
      <w:r>
        <w:rPr>
          <w:rFonts w:ascii="Times New Roman" w:hAnsi="Times New Roman" w:cs="Times New Roman"/>
          <w:sz w:val="28"/>
          <w:szCs w:val="28"/>
          <w:lang w:val="en-US"/>
        </w:rPr>
        <w:t xml:space="preserve"> </w:t>
      </w:r>
      <w:r w:rsidRPr="00723830">
        <w:rPr>
          <w:rFonts w:ascii="Times New Roman" w:hAnsi="Times New Roman" w:cs="Times New Roman"/>
          <w:sz w:val="28"/>
          <w:szCs w:val="28"/>
          <w:lang w:val="en-US"/>
        </w:rPr>
        <w:t xml:space="preserve">and 1050 of the Code </w:t>
      </w:r>
      <w:r>
        <w:rPr>
          <w:rFonts w:ascii="Times New Roman" w:hAnsi="Times New Roman" w:cs="Times New Roman"/>
          <w:sz w:val="28"/>
          <w:szCs w:val="28"/>
          <w:lang w:val="en-US"/>
        </w:rPr>
        <w:t>demonstrates</w:t>
      </w:r>
      <w:r w:rsidRPr="00723830">
        <w:rPr>
          <w:rFonts w:ascii="Times New Roman" w:hAnsi="Times New Roman" w:cs="Times New Roman"/>
          <w:sz w:val="28"/>
          <w:szCs w:val="28"/>
          <w:lang w:val="en-US"/>
        </w:rPr>
        <w:t xml:space="preserve"> that the</w:t>
      </w:r>
      <w:r w:rsidR="00BA1AFE">
        <w:rPr>
          <w:rFonts w:ascii="Times New Roman" w:hAnsi="Times New Roman" w:cs="Times New Roman"/>
          <w:sz w:val="28"/>
          <w:szCs w:val="28"/>
          <w:lang w:val="en-US"/>
        </w:rPr>
        <w:t>y</w:t>
      </w:r>
      <w:r w:rsidRPr="00723830">
        <w:rPr>
          <w:rFonts w:ascii="Times New Roman" w:hAnsi="Times New Roman" w:cs="Times New Roman"/>
          <w:sz w:val="28"/>
          <w:szCs w:val="28"/>
          <w:lang w:val="en-US"/>
        </w:rPr>
        <w:t xml:space="preserve"> regulate the issues of liability for violation of a monetary obligation by</w:t>
      </w:r>
      <w:r>
        <w:rPr>
          <w:rFonts w:ascii="Times New Roman" w:hAnsi="Times New Roman" w:cs="Times New Roman"/>
          <w:sz w:val="28"/>
          <w:szCs w:val="28"/>
          <w:lang w:val="en-US"/>
        </w:rPr>
        <w:t xml:space="preserve"> </w:t>
      </w:r>
      <w:r w:rsidRPr="00723830">
        <w:rPr>
          <w:rFonts w:ascii="Times New Roman" w:hAnsi="Times New Roman" w:cs="Times New Roman"/>
          <w:sz w:val="28"/>
          <w:szCs w:val="28"/>
          <w:lang w:val="en-US"/>
        </w:rPr>
        <w:t>the borrower, while the provisions of Article 1048 of the Code determine the</w:t>
      </w:r>
      <w:r>
        <w:rPr>
          <w:rFonts w:ascii="Times New Roman" w:hAnsi="Times New Roman" w:cs="Times New Roman"/>
          <w:sz w:val="28"/>
          <w:szCs w:val="28"/>
          <w:lang w:val="en-US"/>
        </w:rPr>
        <w:t xml:space="preserve"> </w:t>
      </w:r>
      <w:r w:rsidRPr="00723830">
        <w:rPr>
          <w:rFonts w:ascii="Times New Roman" w:hAnsi="Times New Roman" w:cs="Times New Roman"/>
          <w:sz w:val="28"/>
          <w:szCs w:val="28"/>
          <w:lang w:val="en-US"/>
        </w:rPr>
        <w:t>general conditions for accrual, payment interest for the use of funds as essential</w:t>
      </w:r>
      <w:r>
        <w:rPr>
          <w:rFonts w:ascii="Times New Roman" w:hAnsi="Times New Roman" w:cs="Times New Roman"/>
          <w:sz w:val="28"/>
          <w:szCs w:val="28"/>
          <w:lang w:val="en-US"/>
        </w:rPr>
        <w:t xml:space="preserve"> </w:t>
      </w:r>
      <w:r w:rsidRPr="00723830">
        <w:rPr>
          <w:rFonts w:ascii="Times New Roman" w:hAnsi="Times New Roman" w:cs="Times New Roman"/>
          <w:sz w:val="28"/>
          <w:szCs w:val="28"/>
          <w:lang w:val="en-US"/>
        </w:rPr>
        <w:t>terms of the loan agreement, credit agreement.</w:t>
      </w:r>
    </w:p>
    <w:p w14:paraId="0D3060EB" w14:textId="619371CB" w:rsidR="003772DC" w:rsidRDefault="003772DC" w:rsidP="008F65DC">
      <w:pPr>
        <w:spacing w:line="276" w:lineRule="auto"/>
        <w:ind w:firstLine="709"/>
        <w:jc w:val="both"/>
        <w:rPr>
          <w:rFonts w:ascii="Times New Roman" w:hAnsi="Times New Roman" w:cs="Times New Roman"/>
          <w:sz w:val="28"/>
          <w:szCs w:val="28"/>
          <w:lang w:val="en-US"/>
        </w:rPr>
      </w:pPr>
      <w:r w:rsidRPr="003772DC">
        <w:rPr>
          <w:rFonts w:ascii="Times New Roman" w:hAnsi="Times New Roman" w:cs="Times New Roman"/>
          <w:sz w:val="28"/>
          <w:szCs w:val="28"/>
          <w:lang w:val="en-US"/>
        </w:rPr>
        <w:t xml:space="preserve">The interest referred to in the provisions of Article 1048 of the Code is an integral element of the payment for the granted </w:t>
      </w:r>
      <w:r w:rsidR="00A958F5">
        <w:rPr>
          <w:rFonts w:ascii="Times New Roman" w:hAnsi="Times New Roman" w:cs="Times New Roman"/>
          <w:sz w:val="28"/>
          <w:szCs w:val="28"/>
          <w:lang w:val="en-US"/>
        </w:rPr>
        <w:t>loan</w:t>
      </w:r>
      <w:r w:rsidRPr="003772DC">
        <w:rPr>
          <w:rFonts w:ascii="Times New Roman" w:hAnsi="Times New Roman" w:cs="Times New Roman"/>
          <w:sz w:val="28"/>
          <w:szCs w:val="28"/>
          <w:lang w:val="en-US"/>
        </w:rPr>
        <w:t xml:space="preserve">/credit, which, along with the principal amount of the </w:t>
      </w:r>
      <w:r w:rsidR="00A958F5">
        <w:rPr>
          <w:rFonts w:ascii="Times New Roman" w:hAnsi="Times New Roman" w:cs="Times New Roman"/>
          <w:sz w:val="28"/>
          <w:szCs w:val="28"/>
          <w:lang w:val="en-US"/>
        </w:rPr>
        <w:t>loan</w:t>
      </w:r>
      <w:r w:rsidRPr="003772DC">
        <w:rPr>
          <w:rFonts w:ascii="Times New Roman" w:hAnsi="Times New Roman" w:cs="Times New Roman"/>
          <w:sz w:val="28"/>
          <w:szCs w:val="28"/>
          <w:lang w:val="en-US"/>
        </w:rPr>
        <w:t xml:space="preserve">/credit, constitutes the total amount of the debt, which the debtor must pay after a certain time after receiving the </w:t>
      </w:r>
      <w:r w:rsidR="00A958F5">
        <w:rPr>
          <w:rFonts w:ascii="Times New Roman" w:hAnsi="Times New Roman" w:cs="Times New Roman"/>
          <w:sz w:val="28"/>
          <w:szCs w:val="28"/>
          <w:lang w:val="en-US"/>
        </w:rPr>
        <w:t>loan</w:t>
      </w:r>
      <w:r w:rsidRPr="003772DC">
        <w:rPr>
          <w:rFonts w:ascii="Times New Roman" w:hAnsi="Times New Roman" w:cs="Times New Roman"/>
          <w:sz w:val="28"/>
          <w:szCs w:val="28"/>
          <w:lang w:val="en-US"/>
        </w:rPr>
        <w:t>/credit.</w:t>
      </w:r>
    </w:p>
    <w:p w14:paraId="6620D615" w14:textId="040498C1" w:rsidR="003772DC" w:rsidRDefault="004A06BF" w:rsidP="008F65DC">
      <w:pPr>
        <w:spacing w:line="276" w:lineRule="auto"/>
        <w:ind w:firstLine="709"/>
        <w:jc w:val="both"/>
        <w:rPr>
          <w:rFonts w:ascii="Times New Roman" w:hAnsi="Times New Roman" w:cs="Times New Roman"/>
          <w:sz w:val="28"/>
          <w:szCs w:val="28"/>
          <w:lang w:val="en-US"/>
        </w:rPr>
      </w:pPr>
      <w:r w:rsidRPr="004A06BF">
        <w:rPr>
          <w:rFonts w:ascii="Times New Roman" w:hAnsi="Times New Roman" w:cs="Times New Roman"/>
          <w:sz w:val="28"/>
          <w:szCs w:val="28"/>
          <w:lang w:val="en-US"/>
        </w:rPr>
        <w:t>The Constitutional Court of Ukraine noted that the provisions of Article</w:t>
      </w:r>
      <w:r>
        <w:rPr>
          <w:rFonts w:ascii="Times New Roman" w:hAnsi="Times New Roman" w:cs="Times New Roman"/>
          <w:sz w:val="28"/>
          <w:szCs w:val="28"/>
          <w:lang w:val="en-US"/>
        </w:rPr>
        <w:t xml:space="preserve"> </w:t>
      </w:r>
      <w:r w:rsidRPr="004A06BF">
        <w:rPr>
          <w:rFonts w:ascii="Times New Roman" w:hAnsi="Times New Roman" w:cs="Times New Roman"/>
          <w:sz w:val="28"/>
          <w:szCs w:val="28"/>
          <w:lang w:val="en-US"/>
        </w:rPr>
        <w:t>625.5, the first sentence of Article 1050.1 of the Code and Article 1048.1 of the</w:t>
      </w:r>
      <w:r>
        <w:rPr>
          <w:rFonts w:ascii="Times New Roman" w:hAnsi="Times New Roman" w:cs="Times New Roman"/>
          <w:sz w:val="28"/>
          <w:szCs w:val="28"/>
          <w:lang w:val="en-US"/>
        </w:rPr>
        <w:t xml:space="preserve"> </w:t>
      </w:r>
      <w:r w:rsidRPr="004A06BF">
        <w:rPr>
          <w:rFonts w:ascii="Times New Roman" w:hAnsi="Times New Roman" w:cs="Times New Roman"/>
          <w:sz w:val="28"/>
          <w:szCs w:val="28"/>
          <w:lang w:val="en-US"/>
        </w:rPr>
        <w:t>Code regulate legal relations that are different in their content and are not</w:t>
      </w:r>
      <w:r>
        <w:rPr>
          <w:rFonts w:ascii="Times New Roman" w:hAnsi="Times New Roman" w:cs="Times New Roman"/>
          <w:sz w:val="28"/>
          <w:szCs w:val="28"/>
          <w:lang w:val="en-US"/>
        </w:rPr>
        <w:t xml:space="preserve"> </w:t>
      </w:r>
      <w:r w:rsidRPr="004A06BF">
        <w:rPr>
          <w:rFonts w:ascii="Times New Roman" w:hAnsi="Times New Roman" w:cs="Times New Roman"/>
          <w:sz w:val="28"/>
          <w:szCs w:val="28"/>
          <w:lang w:val="en-US"/>
        </w:rPr>
        <w:t>mutually exclusive, because, as a general rule (Article 622.1 of the Code),</w:t>
      </w:r>
      <w:r>
        <w:rPr>
          <w:rFonts w:ascii="Times New Roman" w:hAnsi="Times New Roman" w:cs="Times New Roman"/>
          <w:sz w:val="28"/>
          <w:szCs w:val="28"/>
          <w:lang w:val="en-US"/>
        </w:rPr>
        <w:t xml:space="preserve"> </w:t>
      </w:r>
      <w:r w:rsidRPr="004A06BF">
        <w:rPr>
          <w:rFonts w:ascii="Times New Roman" w:hAnsi="Times New Roman" w:cs="Times New Roman"/>
          <w:sz w:val="28"/>
          <w:szCs w:val="28"/>
          <w:lang w:val="en-US"/>
        </w:rPr>
        <w:t>unless otherwise provided by the agreement or the law, the application of civil</w:t>
      </w:r>
      <w:r>
        <w:rPr>
          <w:rFonts w:ascii="Times New Roman" w:hAnsi="Times New Roman" w:cs="Times New Roman"/>
          <w:sz w:val="28"/>
          <w:szCs w:val="28"/>
          <w:lang w:val="en-US"/>
        </w:rPr>
        <w:t xml:space="preserve"> </w:t>
      </w:r>
      <w:r w:rsidRPr="004A06BF">
        <w:rPr>
          <w:rFonts w:ascii="Times New Roman" w:hAnsi="Times New Roman" w:cs="Times New Roman"/>
          <w:sz w:val="28"/>
          <w:szCs w:val="28"/>
          <w:lang w:val="en-US"/>
        </w:rPr>
        <w:t xml:space="preserve">liability </w:t>
      </w:r>
      <w:r w:rsidRPr="004A06BF">
        <w:rPr>
          <w:rFonts w:ascii="Times New Roman" w:hAnsi="Times New Roman" w:cs="Times New Roman"/>
          <w:sz w:val="28"/>
          <w:szCs w:val="28"/>
          <w:lang w:val="en-US"/>
        </w:rPr>
        <w:lastRenderedPageBreak/>
        <w:t>measures does not relieve the debtor from the performance of</w:t>
      </w:r>
      <w:r>
        <w:rPr>
          <w:rFonts w:ascii="Times New Roman" w:hAnsi="Times New Roman" w:cs="Times New Roman"/>
          <w:sz w:val="28"/>
          <w:szCs w:val="28"/>
          <w:lang w:val="en-US"/>
        </w:rPr>
        <w:t xml:space="preserve"> </w:t>
      </w:r>
      <w:r w:rsidRPr="004A06BF">
        <w:rPr>
          <w:rFonts w:ascii="Times New Roman" w:hAnsi="Times New Roman" w:cs="Times New Roman"/>
          <w:sz w:val="28"/>
          <w:szCs w:val="28"/>
          <w:lang w:val="en-US"/>
        </w:rPr>
        <w:t>obligations under the agreement in kind.</w:t>
      </w:r>
    </w:p>
    <w:p w14:paraId="3F64E201" w14:textId="5115AC32" w:rsidR="004A06BF" w:rsidRDefault="0077741A" w:rsidP="008F65DC">
      <w:pPr>
        <w:spacing w:line="276" w:lineRule="auto"/>
        <w:ind w:firstLine="709"/>
        <w:jc w:val="both"/>
        <w:rPr>
          <w:rFonts w:ascii="Times New Roman" w:hAnsi="Times New Roman" w:cs="Times New Roman"/>
          <w:sz w:val="28"/>
          <w:szCs w:val="28"/>
          <w:lang w:val="en-US"/>
        </w:rPr>
      </w:pPr>
      <w:r w:rsidRPr="0077741A">
        <w:rPr>
          <w:rFonts w:ascii="Times New Roman" w:hAnsi="Times New Roman" w:cs="Times New Roman"/>
          <w:sz w:val="28"/>
          <w:szCs w:val="28"/>
          <w:lang w:val="en-US"/>
        </w:rPr>
        <w:t>The Constitutional Court considers that the application of the provision of the first sentence of Article 1050.1 of the Code, as such, aimed at granting a creditor the right to receive three percent per annum of the overdue amount and inflationary losses as measures of civil liability for improper performance of monetary obligations by the borrower, and, thus, cannot affect the right of the creditor to receive interest as payment for the use of the credit, that is, the right to demand from the debtor the fulfillment of obligations under the credit agreement in kind.</w:t>
      </w:r>
    </w:p>
    <w:p w14:paraId="477BD6DA" w14:textId="1E280736" w:rsidR="0077741A" w:rsidRDefault="005F633A" w:rsidP="008F65DC">
      <w:pPr>
        <w:spacing w:line="276" w:lineRule="auto"/>
        <w:ind w:firstLine="709"/>
        <w:jc w:val="both"/>
        <w:rPr>
          <w:rFonts w:ascii="Times New Roman" w:hAnsi="Times New Roman" w:cs="Times New Roman"/>
          <w:sz w:val="28"/>
          <w:szCs w:val="28"/>
          <w:lang w:val="en-US"/>
        </w:rPr>
      </w:pPr>
      <w:r w:rsidRPr="005F633A">
        <w:rPr>
          <w:rFonts w:ascii="Times New Roman" w:hAnsi="Times New Roman" w:cs="Times New Roman"/>
          <w:sz w:val="28"/>
          <w:szCs w:val="28"/>
          <w:lang w:val="en-US"/>
        </w:rPr>
        <w:t>The Constitutional Court came to the conclusion that, in terms of the issues raised in the constitutional complaint, the impugned provision of Article 1050 of the Code does not restrict the Bank</w:t>
      </w:r>
      <w:r w:rsidR="00A958F5">
        <w:rPr>
          <w:rFonts w:ascii="Times New Roman" w:hAnsi="Times New Roman" w:cs="Times New Roman"/>
          <w:sz w:val="28"/>
          <w:szCs w:val="28"/>
          <w:lang w:val="en-US"/>
        </w:rPr>
        <w:t>’</w:t>
      </w:r>
      <w:r w:rsidRPr="005F633A">
        <w:rPr>
          <w:rFonts w:ascii="Times New Roman" w:hAnsi="Times New Roman" w:cs="Times New Roman"/>
          <w:sz w:val="28"/>
          <w:szCs w:val="28"/>
          <w:lang w:val="en-US"/>
        </w:rPr>
        <w:t>s right to receive interest in the form of payment for the use of the credit. Consequently, the provision of the first sentence of Article 1050.1 of the Code does not entail negative consequences for the Bank</w:t>
      </w:r>
      <w:r w:rsidR="00A958F5">
        <w:rPr>
          <w:rFonts w:ascii="Times New Roman" w:hAnsi="Times New Roman" w:cs="Times New Roman"/>
          <w:sz w:val="28"/>
          <w:szCs w:val="28"/>
          <w:lang w:val="en-US"/>
        </w:rPr>
        <w:t>’</w:t>
      </w:r>
      <w:r w:rsidRPr="005F633A">
        <w:rPr>
          <w:rFonts w:ascii="Times New Roman" w:hAnsi="Times New Roman" w:cs="Times New Roman"/>
          <w:sz w:val="28"/>
          <w:szCs w:val="28"/>
          <w:lang w:val="en-US"/>
        </w:rPr>
        <w:t>s right to conduct business activities.</w:t>
      </w:r>
    </w:p>
    <w:p w14:paraId="409C184F" w14:textId="48B999B7" w:rsidR="00552830" w:rsidRDefault="00552830" w:rsidP="00552830">
      <w:pPr>
        <w:spacing w:line="27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Thus, the Constitutional Court held to declare t</w:t>
      </w:r>
      <w:r w:rsidRPr="00AF0E8B">
        <w:rPr>
          <w:rFonts w:ascii="Times New Roman" w:hAnsi="Times New Roman" w:cs="Times New Roman"/>
          <w:sz w:val="28"/>
          <w:szCs w:val="28"/>
          <w:lang w:val="en-US"/>
        </w:rPr>
        <w:t xml:space="preserve">he provision of the first sentence of Article 1050.1 of the Civil Code </w:t>
      </w:r>
      <w:r>
        <w:rPr>
          <w:rFonts w:ascii="Times New Roman" w:hAnsi="Times New Roman" w:cs="Times New Roman"/>
          <w:sz w:val="28"/>
          <w:szCs w:val="28"/>
          <w:lang w:val="en-US"/>
        </w:rPr>
        <w:t xml:space="preserve">to be </w:t>
      </w:r>
      <w:r w:rsidRPr="00AF0E8B">
        <w:rPr>
          <w:rFonts w:ascii="Times New Roman" w:hAnsi="Times New Roman" w:cs="Times New Roman"/>
          <w:sz w:val="28"/>
          <w:szCs w:val="28"/>
          <w:lang w:val="en-US"/>
        </w:rPr>
        <w:t>constitutional.</w:t>
      </w:r>
    </w:p>
    <w:p w14:paraId="3682524D" w14:textId="77777777" w:rsidR="00552830" w:rsidRDefault="00552830" w:rsidP="008F65DC">
      <w:pPr>
        <w:spacing w:line="276" w:lineRule="auto"/>
        <w:ind w:firstLine="709"/>
        <w:jc w:val="both"/>
        <w:rPr>
          <w:rFonts w:ascii="Times New Roman" w:hAnsi="Times New Roman" w:cs="Times New Roman"/>
          <w:sz w:val="28"/>
          <w:szCs w:val="28"/>
          <w:lang w:val="en-US"/>
        </w:rPr>
      </w:pPr>
    </w:p>
    <w:p w14:paraId="07ABC0FD" w14:textId="77777777" w:rsidR="007653E2" w:rsidRPr="00552830" w:rsidRDefault="007653E2" w:rsidP="008F65DC">
      <w:pPr>
        <w:spacing w:line="276" w:lineRule="auto"/>
        <w:ind w:firstLine="709"/>
        <w:jc w:val="both"/>
        <w:rPr>
          <w:rFonts w:ascii="Times New Roman" w:hAnsi="Times New Roman" w:cs="Times New Roman"/>
          <w:bCs/>
          <w:i/>
          <w:sz w:val="28"/>
          <w:szCs w:val="28"/>
          <w:lang w:val="en-US"/>
        </w:rPr>
      </w:pPr>
      <w:r w:rsidRPr="00552830">
        <w:rPr>
          <w:rFonts w:ascii="Times New Roman" w:hAnsi="Times New Roman" w:cs="Times New Roman"/>
          <w:bCs/>
          <w:i/>
          <w:sz w:val="28"/>
          <w:szCs w:val="28"/>
          <w:lang w:val="en-US"/>
        </w:rPr>
        <w:t>References:</w:t>
      </w:r>
    </w:p>
    <w:p w14:paraId="63175E22" w14:textId="77777777" w:rsidR="007653E2" w:rsidRDefault="007653E2" w:rsidP="008F65DC">
      <w:pPr>
        <w:spacing w:line="276" w:lineRule="auto"/>
        <w:ind w:firstLine="709"/>
        <w:jc w:val="both"/>
        <w:rPr>
          <w:rFonts w:ascii="Times New Roman" w:hAnsi="Times New Roman" w:cs="Times New Roman"/>
          <w:sz w:val="28"/>
          <w:szCs w:val="28"/>
        </w:rPr>
      </w:pPr>
    </w:p>
    <w:p w14:paraId="12832F59" w14:textId="77777777" w:rsidR="007653E2" w:rsidRPr="00975299" w:rsidRDefault="007653E2" w:rsidP="008F65DC">
      <w:pPr>
        <w:pStyle w:val="a3"/>
        <w:spacing w:after="0" w:line="276" w:lineRule="auto"/>
        <w:ind w:firstLine="709"/>
        <w:jc w:val="both"/>
        <w:rPr>
          <w:sz w:val="28"/>
          <w:szCs w:val="28"/>
          <w:lang w:val="en-US"/>
        </w:rPr>
      </w:pPr>
      <w:r w:rsidRPr="00975299">
        <w:rPr>
          <w:sz w:val="28"/>
          <w:szCs w:val="28"/>
          <w:lang w:val="en-US"/>
        </w:rPr>
        <w:t xml:space="preserve">Decisions of the Constitutional Court of Ukraine: </w:t>
      </w:r>
    </w:p>
    <w:p w14:paraId="4DBC1983" w14:textId="50329C7D" w:rsidR="007653E2" w:rsidRDefault="007653E2" w:rsidP="008F65DC">
      <w:pPr>
        <w:pStyle w:val="a3"/>
        <w:spacing w:after="0" w:line="276" w:lineRule="auto"/>
        <w:ind w:firstLine="709"/>
        <w:jc w:val="both"/>
        <w:rPr>
          <w:sz w:val="28"/>
          <w:szCs w:val="28"/>
          <w:lang w:val="en-US"/>
        </w:rPr>
      </w:pPr>
      <w:r w:rsidRPr="00975299">
        <w:rPr>
          <w:sz w:val="28"/>
          <w:szCs w:val="28"/>
          <w:lang w:val="en-US"/>
        </w:rPr>
        <w:t>No. 1</w:t>
      </w:r>
      <w:r>
        <w:rPr>
          <w:sz w:val="28"/>
          <w:szCs w:val="28"/>
          <w:lang w:val="en-US"/>
        </w:rPr>
        <w:t>4</w:t>
      </w:r>
      <w:r w:rsidRPr="00975299">
        <w:rPr>
          <w:sz w:val="28"/>
          <w:szCs w:val="28"/>
          <w:lang w:val="en-US"/>
        </w:rPr>
        <w:t>-rp/200</w:t>
      </w:r>
      <w:r>
        <w:rPr>
          <w:sz w:val="28"/>
          <w:szCs w:val="28"/>
          <w:lang w:val="en-US"/>
        </w:rPr>
        <w:t>0</w:t>
      </w:r>
      <w:r w:rsidRPr="00975299">
        <w:rPr>
          <w:sz w:val="28"/>
          <w:szCs w:val="28"/>
          <w:lang w:val="en-US"/>
        </w:rPr>
        <w:t xml:space="preserve"> of </w:t>
      </w:r>
      <w:r>
        <w:rPr>
          <w:sz w:val="28"/>
          <w:szCs w:val="28"/>
          <w:lang w:val="en-US"/>
        </w:rPr>
        <w:t>December</w:t>
      </w:r>
      <w:r w:rsidRPr="00975299">
        <w:rPr>
          <w:sz w:val="28"/>
          <w:szCs w:val="28"/>
          <w:lang w:val="en-US"/>
        </w:rPr>
        <w:t xml:space="preserve"> </w:t>
      </w:r>
      <w:r>
        <w:rPr>
          <w:sz w:val="28"/>
          <w:szCs w:val="28"/>
          <w:lang w:val="en-US"/>
        </w:rPr>
        <w:t>13</w:t>
      </w:r>
      <w:r w:rsidRPr="00975299">
        <w:rPr>
          <w:sz w:val="28"/>
          <w:szCs w:val="28"/>
          <w:lang w:val="en-US"/>
        </w:rPr>
        <w:t>, 200</w:t>
      </w:r>
      <w:r>
        <w:rPr>
          <w:sz w:val="28"/>
          <w:szCs w:val="28"/>
          <w:lang w:val="en-US"/>
        </w:rPr>
        <w:t>0</w:t>
      </w:r>
      <w:r w:rsidRPr="00975299">
        <w:rPr>
          <w:sz w:val="28"/>
          <w:szCs w:val="28"/>
          <w:lang w:val="en-US"/>
        </w:rPr>
        <w:t>,</w:t>
      </w:r>
    </w:p>
    <w:p w14:paraId="6F568F11" w14:textId="0E16A11E" w:rsidR="007653E2" w:rsidRDefault="007653E2" w:rsidP="008F65DC">
      <w:pPr>
        <w:pStyle w:val="a3"/>
        <w:spacing w:after="0" w:line="276" w:lineRule="auto"/>
        <w:ind w:firstLine="709"/>
        <w:jc w:val="both"/>
        <w:rPr>
          <w:sz w:val="28"/>
          <w:szCs w:val="28"/>
          <w:lang w:val="en-US"/>
        </w:rPr>
      </w:pPr>
      <w:r w:rsidRPr="00975299">
        <w:rPr>
          <w:sz w:val="28"/>
          <w:szCs w:val="28"/>
          <w:lang w:val="en-US"/>
        </w:rPr>
        <w:t xml:space="preserve">No. </w:t>
      </w:r>
      <w:r>
        <w:rPr>
          <w:sz w:val="28"/>
          <w:szCs w:val="28"/>
          <w:lang w:val="en-US"/>
        </w:rPr>
        <w:t>3</w:t>
      </w:r>
      <w:r w:rsidRPr="00975299">
        <w:rPr>
          <w:sz w:val="28"/>
          <w:szCs w:val="28"/>
          <w:lang w:val="en-US"/>
        </w:rPr>
        <w:t>-rp/200</w:t>
      </w:r>
      <w:r>
        <w:rPr>
          <w:sz w:val="28"/>
          <w:szCs w:val="28"/>
          <w:lang w:val="en-US"/>
        </w:rPr>
        <w:t>2</w:t>
      </w:r>
      <w:r w:rsidRPr="00975299">
        <w:rPr>
          <w:sz w:val="28"/>
          <w:szCs w:val="28"/>
          <w:lang w:val="en-US"/>
        </w:rPr>
        <w:t xml:space="preserve"> of </w:t>
      </w:r>
      <w:r>
        <w:rPr>
          <w:sz w:val="28"/>
          <w:szCs w:val="28"/>
          <w:lang w:val="en-US"/>
        </w:rPr>
        <w:t>February</w:t>
      </w:r>
      <w:r w:rsidRPr="00975299">
        <w:rPr>
          <w:sz w:val="28"/>
          <w:szCs w:val="28"/>
          <w:lang w:val="en-US"/>
        </w:rPr>
        <w:t xml:space="preserve"> </w:t>
      </w:r>
      <w:r>
        <w:rPr>
          <w:sz w:val="28"/>
          <w:szCs w:val="28"/>
          <w:lang w:val="en-US"/>
        </w:rPr>
        <w:t>12</w:t>
      </w:r>
      <w:r w:rsidRPr="00975299">
        <w:rPr>
          <w:sz w:val="28"/>
          <w:szCs w:val="28"/>
          <w:lang w:val="en-US"/>
        </w:rPr>
        <w:t>, 200</w:t>
      </w:r>
      <w:r>
        <w:rPr>
          <w:sz w:val="28"/>
          <w:szCs w:val="28"/>
          <w:lang w:val="en-US"/>
        </w:rPr>
        <w:t>2</w:t>
      </w:r>
      <w:r w:rsidRPr="00975299">
        <w:rPr>
          <w:sz w:val="28"/>
          <w:szCs w:val="28"/>
          <w:lang w:val="en-US"/>
        </w:rPr>
        <w:t>,</w:t>
      </w:r>
    </w:p>
    <w:p w14:paraId="645605CA" w14:textId="720C9D1B" w:rsidR="007653E2" w:rsidRDefault="007653E2" w:rsidP="008F65DC">
      <w:pPr>
        <w:pStyle w:val="a3"/>
        <w:spacing w:after="0" w:line="276" w:lineRule="auto"/>
        <w:ind w:firstLine="709"/>
        <w:jc w:val="both"/>
        <w:rPr>
          <w:sz w:val="28"/>
          <w:szCs w:val="28"/>
          <w:lang w:val="en-US"/>
        </w:rPr>
      </w:pPr>
      <w:r w:rsidRPr="00975299">
        <w:rPr>
          <w:sz w:val="28"/>
          <w:szCs w:val="28"/>
          <w:lang w:val="en-US"/>
        </w:rPr>
        <w:t>No. 1</w:t>
      </w:r>
      <w:r>
        <w:rPr>
          <w:sz w:val="28"/>
          <w:szCs w:val="28"/>
          <w:lang w:val="en-US"/>
        </w:rPr>
        <w:t>6</w:t>
      </w:r>
      <w:r w:rsidRPr="00975299">
        <w:rPr>
          <w:sz w:val="28"/>
          <w:szCs w:val="28"/>
          <w:lang w:val="en-US"/>
        </w:rPr>
        <w:t>-rp/200</w:t>
      </w:r>
      <w:r>
        <w:rPr>
          <w:sz w:val="28"/>
          <w:szCs w:val="28"/>
          <w:lang w:val="en-US"/>
        </w:rPr>
        <w:t>4</w:t>
      </w:r>
      <w:r w:rsidRPr="00975299">
        <w:rPr>
          <w:sz w:val="28"/>
          <w:szCs w:val="28"/>
          <w:lang w:val="en-US"/>
        </w:rPr>
        <w:t xml:space="preserve"> of </w:t>
      </w:r>
      <w:r>
        <w:rPr>
          <w:sz w:val="28"/>
          <w:szCs w:val="28"/>
          <w:lang w:val="en-US"/>
        </w:rPr>
        <w:t>November</w:t>
      </w:r>
      <w:r w:rsidRPr="00975299">
        <w:rPr>
          <w:sz w:val="28"/>
          <w:szCs w:val="28"/>
          <w:lang w:val="en-US"/>
        </w:rPr>
        <w:t xml:space="preserve"> </w:t>
      </w:r>
      <w:r>
        <w:rPr>
          <w:sz w:val="28"/>
          <w:szCs w:val="28"/>
          <w:lang w:val="en-US"/>
        </w:rPr>
        <w:t>11</w:t>
      </w:r>
      <w:r w:rsidRPr="00975299">
        <w:rPr>
          <w:sz w:val="28"/>
          <w:szCs w:val="28"/>
          <w:lang w:val="en-US"/>
        </w:rPr>
        <w:t>, 200</w:t>
      </w:r>
      <w:r>
        <w:rPr>
          <w:sz w:val="28"/>
          <w:szCs w:val="28"/>
          <w:lang w:val="en-US"/>
        </w:rPr>
        <w:t>4</w:t>
      </w:r>
      <w:r w:rsidRPr="00975299">
        <w:rPr>
          <w:sz w:val="28"/>
          <w:szCs w:val="28"/>
          <w:lang w:val="en-US"/>
        </w:rPr>
        <w:t>,</w:t>
      </w:r>
    </w:p>
    <w:p w14:paraId="73B20A0C" w14:textId="6186B41C" w:rsidR="007653E2" w:rsidRDefault="007653E2" w:rsidP="008F65DC">
      <w:pPr>
        <w:pStyle w:val="a3"/>
        <w:spacing w:after="0" w:line="276" w:lineRule="auto"/>
        <w:ind w:firstLine="709"/>
        <w:jc w:val="both"/>
        <w:rPr>
          <w:sz w:val="28"/>
          <w:szCs w:val="28"/>
          <w:lang w:val="en-US"/>
        </w:rPr>
      </w:pPr>
      <w:r w:rsidRPr="00975299">
        <w:rPr>
          <w:sz w:val="28"/>
          <w:szCs w:val="28"/>
          <w:lang w:val="en-US"/>
        </w:rPr>
        <w:t xml:space="preserve">No. </w:t>
      </w:r>
      <w:r>
        <w:rPr>
          <w:sz w:val="28"/>
          <w:szCs w:val="28"/>
          <w:lang w:val="en-US"/>
        </w:rPr>
        <w:t>5</w:t>
      </w:r>
      <w:r w:rsidRPr="00975299">
        <w:rPr>
          <w:sz w:val="28"/>
          <w:szCs w:val="28"/>
          <w:lang w:val="en-US"/>
        </w:rPr>
        <w:t>-rp/200</w:t>
      </w:r>
      <w:r>
        <w:rPr>
          <w:sz w:val="28"/>
          <w:szCs w:val="28"/>
          <w:lang w:val="en-US"/>
        </w:rPr>
        <w:t>7</w:t>
      </w:r>
      <w:r w:rsidRPr="00975299">
        <w:rPr>
          <w:sz w:val="28"/>
          <w:szCs w:val="28"/>
          <w:lang w:val="en-US"/>
        </w:rPr>
        <w:t xml:space="preserve"> of </w:t>
      </w:r>
      <w:r>
        <w:rPr>
          <w:sz w:val="28"/>
          <w:szCs w:val="28"/>
          <w:lang w:val="en-US"/>
        </w:rPr>
        <w:t>June</w:t>
      </w:r>
      <w:r w:rsidRPr="00975299">
        <w:rPr>
          <w:sz w:val="28"/>
          <w:szCs w:val="28"/>
          <w:lang w:val="en-US"/>
        </w:rPr>
        <w:t xml:space="preserve"> </w:t>
      </w:r>
      <w:r>
        <w:rPr>
          <w:sz w:val="28"/>
          <w:szCs w:val="28"/>
          <w:lang w:val="en-US"/>
        </w:rPr>
        <w:t>20</w:t>
      </w:r>
      <w:r w:rsidRPr="00975299">
        <w:rPr>
          <w:sz w:val="28"/>
          <w:szCs w:val="28"/>
          <w:lang w:val="en-US"/>
        </w:rPr>
        <w:t>, 200</w:t>
      </w:r>
      <w:r>
        <w:rPr>
          <w:sz w:val="28"/>
          <w:szCs w:val="28"/>
          <w:lang w:val="en-US"/>
        </w:rPr>
        <w:t>7</w:t>
      </w:r>
      <w:r w:rsidRPr="00975299">
        <w:rPr>
          <w:sz w:val="28"/>
          <w:szCs w:val="28"/>
          <w:lang w:val="en-US"/>
        </w:rPr>
        <w:t>,</w:t>
      </w:r>
    </w:p>
    <w:p w14:paraId="4D262CCD" w14:textId="782A21AF" w:rsidR="007653E2" w:rsidRDefault="007653E2" w:rsidP="008F65DC">
      <w:pPr>
        <w:pStyle w:val="a3"/>
        <w:spacing w:after="0" w:line="276" w:lineRule="auto"/>
        <w:ind w:firstLine="709"/>
        <w:jc w:val="both"/>
        <w:rPr>
          <w:sz w:val="28"/>
          <w:szCs w:val="28"/>
          <w:lang w:val="en-US"/>
        </w:rPr>
      </w:pPr>
      <w:r w:rsidRPr="00975299">
        <w:rPr>
          <w:sz w:val="28"/>
          <w:szCs w:val="28"/>
          <w:lang w:val="en-US"/>
        </w:rPr>
        <w:t xml:space="preserve">No. </w:t>
      </w:r>
      <w:r>
        <w:rPr>
          <w:sz w:val="28"/>
          <w:szCs w:val="28"/>
          <w:lang w:val="en-US"/>
        </w:rPr>
        <w:t>24</w:t>
      </w:r>
      <w:r w:rsidRPr="00975299">
        <w:rPr>
          <w:sz w:val="28"/>
          <w:szCs w:val="28"/>
          <w:lang w:val="en-US"/>
        </w:rPr>
        <w:t>-rp/200</w:t>
      </w:r>
      <w:r>
        <w:rPr>
          <w:sz w:val="28"/>
          <w:szCs w:val="28"/>
          <w:lang w:val="en-US"/>
        </w:rPr>
        <w:t>8</w:t>
      </w:r>
      <w:r w:rsidRPr="00975299">
        <w:rPr>
          <w:sz w:val="28"/>
          <w:szCs w:val="28"/>
          <w:lang w:val="en-US"/>
        </w:rPr>
        <w:t xml:space="preserve"> of </w:t>
      </w:r>
      <w:r>
        <w:rPr>
          <w:sz w:val="28"/>
          <w:szCs w:val="28"/>
          <w:lang w:val="en-US"/>
        </w:rPr>
        <w:t>October</w:t>
      </w:r>
      <w:r w:rsidRPr="00975299">
        <w:rPr>
          <w:sz w:val="28"/>
          <w:szCs w:val="28"/>
          <w:lang w:val="en-US"/>
        </w:rPr>
        <w:t xml:space="preserve"> </w:t>
      </w:r>
      <w:r>
        <w:rPr>
          <w:sz w:val="28"/>
          <w:szCs w:val="28"/>
          <w:lang w:val="en-US"/>
        </w:rPr>
        <w:t>16</w:t>
      </w:r>
      <w:r w:rsidRPr="00975299">
        <w:rPr>
          <w:sz w:val="28"/>
          <w:szCs w:val="28"/>
          <w:lang w:val="en-US"/>
        </w:rPr>
        <w:t>, 200</w:t>
      </w:r>
      <w:r>
        <w:rPr>
          <w:sz w:val="28"/>
          <w:szCs w:val="28"/>
          <w:lang w:val="en-US"/>
        </w:rPr>
        <w:t>8</w:t>
      </w:r>
      <w:r w:rsidRPr="00975299">
        <w:rPr>
          <w:sz w:val="28"/>
          <w:szCs w:val="28"/>
          <w:lang w:val="en-US"/>
        </w:rPr>
        <w:t>,</w:t>
      </w:r>
    </w:p>
    <w:p w14:paraId="57704728" w14:textId="406B7C68" w:rsidR="00BF011D" w:rsidRDefault="00BF011D" w:rsidP="008F65DC">
      <w:pPr>
        <w:pStyle w:val="a3"/>
        <w:spacing w:after="0" w:line="276" w:lineRule="auto"/>
        <w:ind w:firstLine="709"/>
        <w:jc w:val="both"/>
        <w:rPr>
          <w:sz w:val="28"/>
          <w:szCs w:val="28"/>
          <w:lang w:val="en-US"/>
        </w:rPr>
      </w:pPr>
      <w:r w:rsidRPr="00975299">
        <w:rPr>
          <w:sz w:val="28"/>
          <w:szCs w:val="28"/>
          <w:lang w:val="en-US"/>
        </w:rPr>
        <w:t>No. 1</w:t>
      </w:r>
      <w:r>
        <w:rPr>
          <w:sz w:val="28"/>
          <w:szCs w:val="28"/>
          <w:lang w:val="en-US"/>
        </w:rPr>
        <w:t>4</w:t>
      </w:r>
      <w:r w:rsidRPr="00975299">
        <w:rPr>
          <w:sz w:val="28"/>
          <w:szCs w:val="28"/>
          <w:lang w:val="en-US"/>
        </w:rPr>
        <w:t>-rp/20</w:t>
      </w:r>
      <w:r>
        <w:rPr>
          <w:sz w:val="28"/>
          <w:szCs w:val="28"/>
          <w:lang w:val="en-US"/>
        </w:rPr>
        <w:t>11</w:t>
      </w:r>
      <w:r w:rsidRPr="00975299">
        <w:rPr>
          <w:sz w:val="28"/>
          <w:szCs w:val="28"/>
          <w:lang w:val="en-US"/>
        </w:rPr>
        <w:t xml:space="preserve"> of </w:t>
      </w:r>
      <w:r>
        <w:rPr>
          <w:sz w:val="28"/>
          <w:szCs w:val="28"/>
          <w:lang w:val="en-US"/>
        </w:rPr>
        <w:t>November</w:t>
      </w:r>
      <w:r w:rsidRPr="00975299">
        <w:rPr>
          <w:sz w:val="28"/>
          <w:szCs w:val="28"/>
          <w:lang w:val="en-US"/>
        </w:rPr>
        <w:t xml:space="preserve"> </w:t>
      </w:r>
      <w:r>
        <w:rPr>
          <w:sz w:val="28"/>
          <w:szCs w:val="28"/>
          <w:lang w:val="en-US"/>
        </w:rPr>
        <w:t>9</w:t>
      </w:r>
      <w:r w:rsidRPr="00975299">
        <w:rPr>
          <w:sz w:val="28"/>
          <w:szCs w:val="28"/>
          <w:lang w:val="en-US"/>
        </w:rPr>
        <w:t>, 20</w:t>
      </w:r>
      <w:r>
        <w:rPr>
          <w:sz w:val="28"/>
          <w:szCs w:val="28"/>
          <w:lang w:val="en-US"/>
        </w:rPr>
        <w:t>11</w:t>
      </w:r>
      <w:r w:rsidRPr="00975299">
        <w:rPr>
          <w:sz w:val="28"/>
          <w:szCs w:val="28"/>
          <w:lang w:val="en-US"/>
        </w:rPr>
        <w:t>,</w:t>
      </w:r>
    </w:p>
    <w:p w14:paraId="1CFAD5EE" w14:textId="6EB96CB4" w:rsidR="00BF011D" w:rsidRDefault="00BF011D" w:rsidP="008F65DC">
      <w:pPr>
        <w:pStyle w:val="a3"/>
        <w:spacing w:after="0" w:line="276" w:lineRule="auto"/>
        <w:ind w:firstLine="709"/>
        <w:jc w:val="both"/>
        <w:rPr>
          <w:sz w:val="28"/>
          <w:szCs w:val="28"/>
          <w:lang w:val="en-US"/>
        </w:rPr>
      </w:pPr>
      <w:r w:rsidRPr="00975299">
        <w:rPr>
          <w:sz w:val="28"/>
          <w:szCs w:val="28"/>
          <w:lang w:val="en-US"/>
        </w:rPr>
        <w:t xml:space="preserve">No. </w:t>
      </w:r>
      <w:r>
        <w:rPr>
          <w:sz w:val="28"/>
          <w:szCs w:val="28"/>
          <w:lang w:val="en-US"/>
        </w:rPr>
        <w:t>3</w:t>
      </w:r>
      <w:r w:rsidRPr="00975299">
        <w:rPr>
          <w:sz w:val="28"/>
          <w:szCs w:val="28"/>
          <w:lang w:val="en-US"/>
        </w:rPr>
        <w:t>-r/20</w:t>
      </w:r>
      <w:r>
        <w:rPr>
          <w:sz w:val="28"/>
          <w:szCs w:val="28"/>
          <w:lang w:val="en-US"/>
        </w:rPr>
        <w:t>19</w:t>
      </w:r>
      <w:r w:rsidRPr="00975299">
        <w:rPr>
          <w:sz w:val="28"/>
          <w:szCs w:val="28"/>
          <w:lang w:val="en-US"/>
        </w:rPr>
        <w:t xml:space="preserve"> of </w:t>
      </w:r>
      <w:r>
        <w:rPr>
          <w:sz w:val="28"/>
          <w:szCs w:val="28"/>
          <w:lang w:val="en-US"/>
        </w:rPr>
        <w:t>June</w:t>
      </w:r>
      <w:r w:rsidRPr="00975299">
        <w:rPr>
          <w:sz w:val="28"/>
          <w:szCs w:val="28"/>
          <w:lang w:val="en-US"/>
        </w:rPr>
        <w:t xml:space="preserve"> </w:t>
      </w:r>
      <w:r>
        <w:rPr>
          <w:sz w:val="28"/>
          <w:szCs w:val="28"/>
          <w:lang w:val="en-US"/>
        </w:rPr>
        <w:t>5</w:t>
      </w:r>
      <w:r w:rsidRPr="00975299">
        <w:rPr>
          <w:sz w:val="28"/>
          <w:szCs w:val="28"/>
          <w:lang w:val="en-US"/>
        </w:rPr>
        <w:t>, 20</w:t>
      </w:r>
      <w:r>
        <w:rPr>
          <w:sz w:val="28"/>
          <w:szCs w:val="28"/>
          <w:lang w:val="en-US"/>
        </w:rPr>
        <w:t>19</w:t>
      </w:r>
      <w:r w:rsidRPr="00975299">
        <w:rPr>
          <w:sz w:val="28"/>
          <w:szCs w:val="28"/>
          <w:lang w:val="en-US"/>
        </w:rPr>
        <w:t>,</w:t>
      </w:r>
    </w:p>
    <w:p w14:paraId="5A8C1D64" w14:textId="77777777" w:rsidR="00BF011D" w:rsidRDefault="00BF011D" w:rsidP="008F65DC">
      <w:pPr>
        <w:pStyle w:val="a3"/>
        <w:spacing w:after="0" w:line="276" w:lineRule="auto"/>
        <w:ind w:firstLine="709"/>
        <w:jc w:val="both"/>
        <w:rPr>
          <w:sz w:val="28"/>
          <w:szCs w:val="28"/>
          <w:lang w:val="en-US"/>
        </w:rPr>
      </w:pPr>
    </w:p>
    <w:p w14:paraId="76906836" w14:textId="45775296" w:rsidR="00BF011D" w:rsidRDefault="00BF011D" w:rsidP="008F65DC">
      <w:pPr>
        <w:pStyle w:val="a3"/>
        <w:spacing w:after="0" w:line="276" w:lineRule="auto"/>
        <w:ind w:firstLine="709"/>
        <w:jc w:val="both"/>
        <w:rPr>
          <w:sz w:val="28"/>
          <w:szCs w:val="28"/>
          <w:lang w:val="en-US"/>
        </w:rPr>
      </w:pPr>
      <w:r>
        <w:rPr>
          <w:sz w:val="28"/>
          <w:szCs w:val="28"/>
          <w:lang w:val="en-US"/>
        </w:rPr>
        <w:t xml:space="preserve">Protocol No. 1 to the </w:t>
      </w:r>
      <w:r w:rsidRPr="006F02F8">
        <w:rPr>
          <w:sz w:val="28"/>
          <w:szCs w:val="28"/>
          <w:lang w:val="en-US"/>
        </w:rPr>
        <w:t>Convention for the Protection of Human Rights and Fundamental Freedoms of 1950</w:t>
      </w:r>
      <w:r>
        <w:rPr>
          <w:sz w:val="28"/>
          <w:szCs w:val="28"/>
          <w:lang w:val="en-US"/>
        </w:rPr>
        <w:t>,</w:t>
      </w:r>
    </w:p>
    <w:p w14:paraId="035B29D1" w14:textId="77777777" w:rsidR="007653E2" w:rsidRDefault="007653E2" w:rsidP="008F65DC">
      <w:pPr>
        <w:pStyle w:val="a3"/>
        <w:spacing w:after="0" w:line="276" w:lineRule="auto"/>
        <w:ind w:firstLine="709"/>
        <w:jc w:val="both"/>
        <w:rPr>
          <w:sz w:val="28"/>
          <w:szCs w:val="28"/>
          <w:lang w:val="en-US"/>
        </w:rPr>
      </w:pPr>
    </w:p>
    <w:p w14:paraId="4FA93523" w14:textId="77777777" w:rsidR="00BF011D" w:rsidRPr="00803F24" w:rsidRDefault="00BF011D" w:rsidP="008F65DC">
      <w:pPr>
        <w:pStyle w:val="a3"/>
        <w:spacing w:after="0" w:line="276" w:lineRule="auto"/>
        <w:ind w:firstLine="709"/>
        <w:jc w:val="both"/>
        <w:rPr>
          <w:sz w:val="28"/>
          <w:szCs w:val="28"/>
          <w:lang w:val="en-US"/>
        </w:rPr>
      </w:pPr>
      <w:r w:rsidRPr="00803F24">
        <w:rPr>
          <w:sz w:val="28"/>
          <w:szCs w:val="28"/>
          <w:lang w:val="en-US"/>
        </w:rPr>
        <w:t>Judgments of the European Court of Human Rights:</w:t>
      </w:r>
    </w:p>
    <w:p w14:paraId="29685296" w14:textId="377744AD" w:rsidR="00BF011D" w:rsidRDefault="00BF011D" w:rsidP="008F65DC">
      <w:pPr>
        <w:pStyle w:val="a3"/>
        <w:spacing w:after="0" w:line="276" w:lineRule="auto"/>
        <w:ind w:firstLine="709"/>
        <w:jc w:val="both"/>
        <w:rPr>
          <w:sz w:val="28"/>
          <w:szCs w:val="28"/>
          <w:lang w:val="en-US"/>
        </w:rPr>
      </w:pPr>
      <w:r w:rsidRPr="00803F24">
        <w:rPr>
          <w:sz w:val="28"/>
          <w:szCs w:val="28"/>
          <w:lang w:val="en-US"/>
        </w:rPr>
        <w:t xml:space="preserve"> “</w:t>
      </w:r>
      <w:proofErr w:type="spellStart"/>
      <w:r w:rsidRPr="0082088D">
        <w:rPr>
          <w:sz w:val="28"/>
          <w:szCs w:val="28"/>
        </w:rPr>
        <w:t>Jatridis</w:t>
      </w:r>
      <w:proofErr w:type="spellEnd"/>
      <w:r w:rsidRPr="0082088D">
        <w:rPr>
          <w:sz w:val="28"/>
          <w:szCs w:val="28"/>
        </w:rPr>
        <w:t xml:space="preserve"> v. </w:t>
      </w:r>
      <w:proofErr w:type="spellStart"/>
      <w:r w:rsidRPr="0082088D">
        <w:rPr>
          <w:sz w:val="28"/>
          <w:szCs w:val="28"/>
        </w:rPr>
        <w:t>Greece</w:t>
      </w:r>
      <w:proofErr w:type="spellEnd"/>
      <w:r w:rsidRPr="00803F24">
        <w:rPr>
          <w:sz w:val="28"/>
          <w:szCs w:val="28"/>
          <w:lang w:val="en-US"/>
        </w:rPr>
        <w:t xml:space="preserve">” of </w:t>
      </w:r>
      <w:r>
        <w:rPr>
          <w:sz w:val="28"/>
          <w:szCs w:val="28"/>
          <w:lang w:val="en-US"/>
        </w:rPr>
        <w:t>May</w:t>
      </w:r>
      <w:r w:rsidRPr="00803F24">
        <w:rPr>
          <w:sz w:val="28"/>
          <w:szCs w:val="28"/>
          <w:lang w:val="en-US"/>
        </w:rPr>
        <w:t xml:space="preserve"> </w:t>
      </w:r>
      <w:r>
        <w:rPr>
          <w:sz w:val="28"/>
          <w:szCs w:val="28"/>
          <w:lang w:val="en-US"/>
        </w:rPr>
        <w:t>25</w:t>
      </w:r>
      <w:r w:rsidRPr="00803F24">
        <w:rPr>
          <w:sz w:val="28"/>
          <w:szCs w:val="28"/>
          <w:lang w:val="en-US"/>
        </w:rPr>
        <w:t xml:space="preserve">, </w:t>
      </w:r>
      <w:r>
        <w:rPr>
          <w:sz w:val="28"/>
          <w:szCs w:val="28"/>
          <w:lang w:val="en-US"/>
        </w:rPr>
        <w:t>1999</w:t>
      </w:r>
      <w:r w:rsidRPr="00803F24">
        <w:rPr>
          <w:sz w:val="28"/>
          <w:szCs w:val="28"/>
          <w:lang w:val="en-US"/>
        </w:rPr>
        <w:t xml:space="preserve"> (application</w:t>
      </w:r>
      <w:r w:rsidRPr="00975299">
        <w:rPr>
          <w:sz w:val="28"/>
          <w:szCs w:val="28"/>
          <w:lang w:val="en-US"/>
        </w:rPr>
        <w:t xml:space="preserve"> No.</w:t>
      </w:r>
      <w:r>
        <w:rPr>
          <w:sz w:val="28"/>
          <w:szCs w:val="28"/>
          <w:lang w:val="en-US"/>
        </w:rPr>
        <w:t xml:space="preserve"> </w:t>
      </w:r>
      <w:r w:rsidRPr="0082088D">
        <w:rPr>
          <w:sz w:val="28"/>
          <w:szCs w:val="28"/>
        </w:rPr>
        <w:t>31107/96</w:t>
      </w:r>
      <w:r w:rsidRPr="00803F24">
        <w:rPr>
          <w:sz w:val="28"/>
          <w:szCs w:val="28"/>
          <w:lang w:val="en-US"/>
        </w:rPr>
        <w:t>),</w:t>
      </w:r>
    </w:p>
    <w:p w14:paraId="736E0B50" w14:textId="7B29D3DB" w:rsidR="00BF011D" w:rsidRDefault="00BF011D" w:rsidP="008F65DC">
      <w:pPr>
        <w:pStyle w:val="a3"/>
        <w:spacing w:after="0" w:line="276" w:lineRule="auto"/>
        <w:ind w:firstLine="709"/>
        <w:jc w:val="both"/>
        <w:rPr>
          <w:sz w:val="28"/>
          <w:szCs w:val="28"/>
          <w:lang w:val="en-US"/>
        </w:rPr>
      </w:pPr>
      <w:r w:rsidRPr="00803F24">
        <w:rPr>
          <w:sz w:val="28"/>
          <w:szCs w:val="28"/>
          <w:lang w:val="en-US"/>
        </w:rPr>
        <w:t>“</w:t>
      </w:r>
      <w:proofErr w:type="spellStart"/>
      <w:r w:rsidRPr="0082088D">
        <w:rPr>
          <w:sz w:val="28"/>
          <w:szCs w:val="28"/>
        </w:rPr>
        <w:t>Beyeler</w:t>
      </w:r>
      <w:proofErr w:type="spellEnd"/>
      <w:r w:rsidRPr="0082088D">
        <w:rPr>
          <w:sz w:val="28"/>
          <w:szCs w:val="28"/>
        </w:rPr>
        <w:t xml:space="preserve"> v. </w:t>
      </w:r>
      <w:proofErr w:type="spellStart"/>
      <w:r w:rsidRPr="0082088D">
        <w:rPr>
          <w:sz w:val="28"/>
          <w:szCs w:val="28"/>
        </w:rPr>
        <w:t>ltaly</w:t>
      </w:r>
      <w:proofErr w:type="spellEnd"/>
      <w:r w:rsidRPr="00803F24">
        <w:rPr>
          <w:sz w:val="28"/>
          <w:szCs w:val="28"/>
          <w:lang w:val="en-US"/>
        </w:rPr>
        <w:t xml:space="preserve">” of </w:t>
      </w:r>
      <w:r>
        <w:rPr>
          <w:sz w:val="28"/>
          <w:szCs w:val="28"/>
          <w:lang w:val="en-US"/>
        </w:rPr>
        <w:t>January</w:t>
      </w:r>
      <w:r w:rsidRPr="00803F24">
        <w:rPr>
          <w:sz w:val="28"/>
          <w:szCs w:val="28"/>
          <w:lang w:val="en-US"/>
        </w:rPr>
        <w:t xml:space="preserve"> </w:t>
      </w:r>
      <w:r>
        <w:rPr>
          <w:sz w:val="28"/>
          <w:szCs w:val="28"/>
          <w:lang w:val="en-US"/>
        </w:rPr>
        <w:t>5</w:t>
      </w:r>
      <w:r w:rsidRPr="00803F24">
        <w:rPr>
          <w:sz w:val="28"/>
          <w:szCs w:val="28"/>
          <w:lang w:val="en-US"/>
        </w:rPr>
        <w:t xml:space="preserve">, </w:t>
      </w:r>
      <w:r>
        <w:rPr>
          <w:sz w:val="28"/>
          <w:szCs w:val="28"/>
          <w:lang w:val="en-US"/>
        </w:rPr>
        <w:t>2000</w:t>
      </w:r>
      <w:r w:rsidRPr="00803F24">
        <w:rPr>
          <w:sz w:val="28"/>
          <w:szCs w:val="28"/>
          <w:lang w:val="en-US"/>
        </w:rPr>
        <w:t xml:space="preserve"> (application</w:t>
      </w:r>
      <w:r w:rsidRPr="00975299">
        <w:rPr>
          <w:sz w:val="28"/>
          <w:szCs w:val="28"/>
          <w:lang w:val="en-US"/>
        </w:rPr>
        <w:t xml:space="preserve"> No.</w:t>
      </w:r>
      <w:r>
        <w:rPr>
          <w:sz w:val="28"/>
          <w:szCs w:val="28"/>
          <w:lang w:val="en-US"/>
        </w:rPr>
        <w:t xml:space="preserve"> </w:t>
      </w:r>
      <w:r w:rsidRPr="0082088D">
        <w:rPr>
          <w:sz w:val="28"/>
          <w:szCs w:val="28"/>
        </w:rPr>
        <w:t>33202/96</w:t>
      </w:r>
      <w:r w:rsidRPr="00803F24">
        <w:rPr>
          <w:sz w:val="28"/>
          <w:szCs w:val="28"/>
          <w:lang w:val="en-US"/>
        </w:rPr>
        <w:t>),</w:t>
      </w:r>
    </w:p>
    <w:p w14:paraId="16DFAB91" w14:textId="4FE01A12" w:rsidR="00BF011D" w:rsidRDefault="00BF011D" w:rsidP="008F65DC">
      <w:pPr>
        <w:pStyle w:val="a3"/>
        <w:spacing w:after="0" w:line="276" w:lineRule="auto"/>
        <w:ind w:firstLine="709"/>
        <w:jc w:val="both"/>
        <w:rPr>
          <w:sz w:val="28"/>
          <w:szCs w:val="28"/>
          <w:lang w:val="en-US"/>
        </w:rPr>
      </w:pPr>
      <w:r w:rsidRPr="00803F24">
        <w:rPr>
          <w:sz w:val="28"/>
          <w:szCs w:val="28"/>
          <w:lang w:val="en-US"/>
        </w:rPr>
        <w:t>“</w:t>
      </w:r>
      <w:proofErr w:type="spellStart"/>
      <w:r w:rsidRPr="0082088D">
        <w:rPr>
          <w:sz w:val="28"/>
          <w:szCs w:val="28"/>
        </w:rPr>
        <w:t>Broniowski</w:t>
      </w:r>
      <w:proofErr w:type="spellEnd"/>
      <w:r w:rsidRPr="0082088D">
        <w:rPr>
          <w:sz w:val="28"/>
          <w:szCs w:val="28"/>
        </w:rPr>
        <w:t xml:space="preserve"> v. </w:t>
      </w:r>
      <w:proofErr w:type="spellStart"/>
      <w:r w:rsidRPr="0082088D">
        <w:rPr>
          <w:sz w:val="28"/>
          <w:szCs w:val="28"/>
        </w:rPr>
        <w:t>Poland</w:t>
      </w:r>
      <w:proofErr w:type="spellEnd"/>
      <w:r w:rsidRPr="00803F24">
        <w:rPr>
          <w:sz w:val="28"/>
          <w:szCs w:val="28"/>
          <w:lang w:val="en-US"/>
        </w:rPr>
        <w:t xml:space="preserve">” of </w:t>
      </w:r>
      <w:r>
        <w:rPr>
          <w:sz w:val="28"/>
          <w:szCs w:val="28"/>
          <w:lang w:val="en-US"/>
        </w:rPr>
        <w:t>June</w:t>
      </w:r>
      <w:r w:rsidRPr="00803F24">
        <w:rPr>
          <w:sz w:val="28"/>
          <w:szCs w:val="28"/>
          <w:lang w:val="en-US"/>
        </w:rPr>
        <w:t xml:space="preserve"> </w:t>
      </w:r>
      <w:r>
        <w:rPr>
          <w:sz w:val="28"/>
          <w:szCs w:val="28"/>
          <w:lang w:val="en-US"/>
        </w:rPr>
        <w:t>22</w:t>
      </w:r>
      <w:r w:rsidRPr="00803F24">
        <w:rPr>
          <w:sz w:val="28"/>
          <w:szCs w:val="28"/>
          <w:lang w:val="en-US"/>
        </w:rPr>
        <w:t xml:space="preserve">, </w:t>
      </w:r>
      <w:r>
        <w:rPr>
          <w:sz w:val="28"/>
          <w:szCs w:val="28"/>
          <w:lang w:val="en-US"/>
        </w:rPr>
        <w:t>2004</w:t>
      </w:r>
      <w:r w:rsidRPr="00803F24">
        <w:rPr>
          <w:sz w:val="28"/>
          <w:szCs w:val="28"/>
          <w:lang w:val="en-US"/>
        </w:rPr>
        <w:t xml:space="preserve"> (application</w:t>
      </w:r>
      <w:r w:rsidRPr="00975299">
        <w:rPr>
          <w:sz w:val="28"/>
          <w:szCs w:val="28"/>
          <w:lang w:val="en-US"/>
        </w:rPr>
        <w:t xml:space="preserve"> No.</w:t>
      </w:r>
      <w:r w:rsidRPr="0082088D">
        <w:rPr>
          <w:sz w:val="28"/>
          <w:szCs w:val="28"/>
        </w:rPr>
        <w:t xml:space="preserve"> 31443/96</w:t>
      </w:r>
      <w:r w:rsidRPr="00803F24">
        <w:rPr>
          <w:sz w:val="28"/>
          <w:szCs w:val="28"/>
          <w:lang w:val="en-US"/>
        </w:rPr>
        <w:t>),</w:t>
      </w:r>
    </w:p>
    <w:p w14:paraId="2D544FC6" w14:textId="4EDB0D5C" w:rsidR="00BF011D" w:rsidRDefault="00BF011D" w:rsidP="008F65DC">
      <w:pPr>
        <w:pStyle w:val="a3"/>
        <w:spacing w:after="0" w:line="276" w:lineRule="auto"/>
        <w:ind w:firstLine="709"/>
        <w:jc w:val="both"/>
        <w:rPr>
          <w:sz w:val="28"/>
          <w:szCs w:val="28"/>
          <w:lang w:val="en-US"/>
        </w:rPr>
      </w:pPr>
      <w:r w:rsidRPr="00803F24">
        <w:rPr>
          <w:sz w:val="28"/>
          <w:szCs w:val="28"/>
          <w:lang w:val="en-US"/>
        </w:rPr>
        <w:lastRenderedPageBreak/>
        <w:t>“</w:t>
      </w:r>
      <w:proofErr w:type="spellStart"/>
      <w:r w:rsidRPr="0082088D">
        <w:rPr>
          <w:sz w:val="28"/>
          <w:szCs w:val="28"/>
        </w:rPr>
        <w:t>Depalle</w:t>
      </w:r>
      <w:proofErr w:type="spellEnd"/>
      <w:r w:rsidRPr="0082088D">
        <w:rPr>
          <w:sz w:val="28"/>
          <w:szCs w:val="28"/>
        </w:rPr>
        <w:t xml:space="preserve"> v. </w:t>
      </w:r>
      <w:proofErr w:type="spellStart"/>
      <w:r w:rsidRPr="0082088D">
        <w:rPr>
          <w:sz w:val="28"/>
          <w:szCs w:val="28"/>
        </w:rPr>
        <w:t>France</w:t>
      </w:r>
      <w:proofErr w:type="spellEnd"/>
      <w:r w:rsidRPr="00803F24">
        <w:rPr>
          <w:sz w:val="28"/>
          <w:szCs w:val="28"/>
          <w:lang w:val="en-US"/>
        </w:rPr>
        <w:t xml:space="preserve">” of </w:t>
      </w:r>
      <w:r>
        <w:rPr>
          <w:sz w:val="28"/>
          <w:szCs w:val="28"/>
          <w:lang w:val="en-US"/>
        </w:rPr>
        <w:t>May</w:t>
      </w:r>
      <w:r w:rsidRPr="00803F24">
        <w:rPr>
          <w:sz w:val="28"/>
          <w:szCs w:val="28"/>
          <w:lang w:val="en-US"/>
        </w:rPr>
        <w:t xml:space="preserve"> </w:t>
      </w:r>
      <w:r>
        <w:rPr>
          <w:sz w:val="28"/>
          <w:szCs w:val="28"/>
          <w:lang w:val="en-US"/>
        </w:rPr>
        <w:t>29</w:t>
      </w:r>
      <w:r w:rsidRPr="00803F24">
        <w:rPr>
          <w:sz w:val="28"/>
          <w:szCs w:val="28"/>
          <w:lang w:val="en-US"/>
        </w:rPr>
        <w:t xml:space="preserve">, </w:t>
      </w:r>
      <w:r>
        <w:rPr>
          <w:sz w:val="28"/>
          <w:szCs w:val="28"/>
          <w:lang w:val="en-US"/>
        </w:rPr>
        <w:t>2010</w:t>
      </w:r>
      <w:r w:rsidRPr="00803F24">
        <w:rPr>
          <w:sz w:val="28"/>
          <w:szCs w:val="28"/>
          <w:lang w:val="en-US"/>
        </w:rPr>
        <w:t xml:space="preserve"> (application</w:t>
      </w:r>
      <w:r w:rsidRPr="00975299">
        <w:rPr>
          <w:sz w:val="28"/>
          <w:szCs w:val="28"/>
          <w:lang w:val="en-US"/>
        </w:rPr>
        <w:t xml:space="preserve"> No.</w:t>
      </w:r>
      <w:r>
        <w:rPr>
          <w:sz w:val="28"/>
          <w:szCs w:val="28"/>
          <w:lang w:val="en-US"/>
        </w:rPr>
        <w:t xml:space="preserve"> </w:t>
      </w:r>
      <w:r w:rsidRPr="0082088D">
        <w:rPr>
          <w:sz w:val="28"/>
          <w:szCs w:val="28"/>
        </w:rPr>
        <w:t>34044/02</w:t>
      </w:r>
      <w:r w:rsidRPr="00803F24">
        <w:rPr>
          <w:sz w:val="28"/>
          <w:szCs w:val="28"/>
          <w:lang w:val="en-US"/>
        </w:rPr>
        <w:t>),</w:t>
      </w:r>
    </w:p>
    <w:p w14:paraId="3818FB7A" w14:textId="6E1C5F6E" w:rsidR="00BF011D" w:rsidRDefault="00BF011D" w:rsidP="008F65DC">
      <w:pPr>
        <w:pStyle w:val="a3"/>
        <w:spacing w:after="0" w:line="276" w:lineRule="auto"/>
        <w:ind w:firstLine="709"/>
        <w:jc w:val="both"/>
        <w:rPr>
          <w:sz w:val="28"/>
          <w:szCs w:val="28"/>
          <w:lang w:val="en-US"/>
        </w:rPr>
      </w:pPr>
      <w:r w:rsidRPr="00803F24">
        <w:rPr>
          <w:sz w:val="28"/>
          <w:szCs w:val="28"/>
          <w:lang w:val="en-US"/>
        </w:rPr>
        <w:t>“</w:t>
      </w:r>
      <w:proofErr w:type="spellStart"/>
      <w:r w:rsidRPr="0082088D">
        <w:rPr>
          <w:sz w:val="28"/>
          <w:szCs w:val="28"/>
        </w:rPr>
        <w:t>Centro</w:t>
      </w:r>
      <w:proofErr w:type="spellEnd"/>
      <w:r w:rsidRPr="0082088D">
        <w:rPr>
          <w:sz w:val="28"/>
          <w:szCs w:val="28"/>
        </w:rPr>
        <w:t xml:space="preserve"> </w:t>
      </w:r>
      <w:proofErr w:type="spellStart"/>
      <w:r w:rsidRPr="0082088D">
        <w:rPr>
          <w:sz w:val="28"/>
          <w:szCs w:val="28"/>
        </w:rPr>
        <w:t>Europa</w:t>
      </w:r>
      <w:proofErr w:type="spellEnd"/>
      <w:r w:rsidRPr="0082088D">
        <w:rPr>
          <w:sz w:val="28"/>
          <w:szCs w:val="28"/>
        </w:rPr>
        <w:t xml:space="preserve"> 7 S.R.L. </w:t>
      </w:r>
      <w:proofErr w:type="spellStart"/>
      <w:r w:rsidRPr="0082088D">
        <w:rPr>
          <w:sz w:val="28"/>
          <w:szCs w:val="28"/>
        </w:rPr>
        <w:t>and</w:t>
      </w:r>
      <w:proofErr w:type="spellEnd"/>
      <w:r w:rsidRPr="0082088D">
        <w:rPr>
          <w:sz w:val="28"/>
          <w:szCs w:val="28"/>
        </w:rPr>
        <w:t xml:space="preserve"> di </w:t>
      </w:r>
      <w:proofErr w:type="spellStart"/>
      <w:r w:rsidRPr="0082088D">
        <w:rPr>
          <w:sz w:val="28"/>
          <w:szCs w:val="28"/>
        </w:rPr>
        <w:t>Stefano</w:t>
      </w:r>
      <w:proofErr w:type="spellEnd"/>
      <w:r w:rsidRPr="0082088D">
        <w:rPr>
          <w:sz w:val="28"/>
          <w:szCs w:val="28"/>
        </w:rPr>
        <w:t xml:space="preserve"> v. </w:t>
      </w:r>
      <w:proofErr w:type="spellStart"/>
      <w:r w:rsidRPr="0082088D">
        <w:rPr>
          <w:sz w:val="28"/>
          <w:szCs w:val="28"/>
        </w:rPr>
        <w:t>ltaly</w:t>
      </w:r>
      <w:proofErr w:type="spellEnd"/>
      <w:r w:rsidRPr="00803F24">
        <w:rPr>
          <w:sz w:val="28"/>
          <w:szCs w:val="28"/>
          <w:lang w:val="en-US"/>
        </w:rPr>
        <w:t xml:space="preserve">” of </w:t>
      </w:r>
      <w:r>
        <w:rPr>
          <w:sz w:val="28"/>
          <w:szCs w:val="28"/>
          <w:lang w:val="en-US"/>
        </w:rPr>
        <w:t>June</w:t>
      </w:r>
      <w:r w:rsidRPr="00803F24">
        <w:rPr>
          <w:sz w:val="28"/>
          <w:szCs w:val="28"/>
          <w:lang w:val="en-US"/>
        </w:rPr>
        <w:t xml:space="preserve"> </w:t>
      </w:r>
      <w:r>
        <w:rPr>
          <w:sz w:val="28"/>
          <w:szCs w:val="28"/>
          <w:lang w:val="en-US"/>
        </w:rPr>
        <w:t>7</w:t>
      </w:r>
      <w:r w:rsidRPr="00803F24">
        <w:rPr>
          <w:sz w:val="28"/>
          <w:szCs w:val="28"/>
          <w:lang w:val="en-US"/>
        </w:rPr>
        <w:t xml:space="preserve">, </w:t>
      </w:r>
      <w:r>
        <w:rPr>
          <w:sz w:val="28"/>
          <w:szCs w:val="28"/>
          <w:lang w:val="en-US"/>
        </w:rPr>
        <w:t>2012</w:t>
      </w:r>
      <w:r w:rsidRPr="00803F24">
        <w:rPr>
          <w:sz w:val="28"/>
          <w:szCs w:val="28"/>
          <w:lang w:val="en-US"/>
        </w:rPr>
        <w:t xml:space="preserve"> (application</w:t>
      </w:r>
      <w:r w:rsidRPr="00975299">
        <w:rPr>
          <w:sz w:val="28"/>
          <w:szCs w:val="28"/>
          <w:lang w:val="en-US"/>
        </w:rPr>
        <w:t xml:space="preserve"> No.</w:t>
      </w:r>
      <w:r>
        <w:rPr>
          <w:sz w:val="28"/>
          <w:szCs w:val="28"/>
          <w:lang w:val="en-US"/>
        </w:rPr>
        <w:t xml:space="preserve"> </w:t>
      </w:r>
      <w:r w:rsidRPr="0082088D">
        <w:rPr>
          <w:sz w:val="28"/>
          <w:szCs w:val="28"/>
        </w:rPr>
        <w:t>38433/09</w:t>
      </w:r>
      <w:r w:rsidRPr="00803F24">
        <w:rPr>
          <w:sz w:val="28"/>
          <w:szCs w:val="28"/>
          <w:lang w:val="en-US"/>
        </w:rPr>
        <w:t>),</w:t>
      </w:r>
    </w:p>
    <w:p w14:paraId="17F2B2C2" w14:textId="1A8DF3C8" w:rsidR="00B82CDB" w:rsidRDefault="00B82CDB" w:rsidP="008F65DC">
      <w:pPr>
        <w:pStyle w:val="a3"/>
        <w:spacing w:after="0" w:line="276" w:lineRule="auto"/>
        <w:ind w:firstLine="709"/>
        <w:jc w:val="both"/>
        <w:rPr>
          <w:sz w:val="28"/>
          <w:szCs w:val="28"/>
          <w:lang w:val="en-US"/>
        </w:rPr>
      </w:pPr>
      <w:r w:rsidRPr="00803F24">
        <w:rPr>
          <w:sz w:val="28"/>
          <w:szCs w:val="28"/>
          <w:lang w:val="en-US"/>
        </w:rPr>
        <w:t>“</w:t>
      </w:r>
      <w:proofErr w:type="spellStart"/>
      <w:r w:rsidRPr="0082088D">
        <w:rPr>
          <w:sz w:val="28"/>
          <w:szCs w:val="28"/>
        </w:rPr>
        <w:t>Kopecky</w:t>
      </w:r>
      <w:proofErr w:type="spellEnd"/>
      <w:r w:rsidRPr="0082088D">
        <w:rPr>
          <w:sz w:val="28"/>
          <w:szCs w:val="28"/>
        </w:rPr>
        <w:t xml:space="preserve"> v. </w:t>
      </w:r>
      <w:proofErr w:type="spellStart"/>
      <w:r w:rsidRPr="0082088D">
        <w:rPr>
          <w:sz w:val="28"/>
          <w:szCs w:val="28"/>
        </w:rPr>
        <w:t>Slovakia</w:t>
      </w:r>
      <w:proofErr w:type="spellEnd"/>
      <w:r w:rsidRPr="00803F24">
        <w:rPr>
          <w:sz w:val="28"/>
          <w:szCs w:val="28"/>
          <w:lang w:val="en-US"/>
        </w:rPr>
        <w:t xml:space="preserve">” of </w:t>
      </w:r>
      <w:r>
        <w:rPr>
          <w:sz w:val="28"/>
          <w:szCs w:val="28"/>
          <w:lang w:val="en-US"/>
        </w:rPr>
        <w:t>September</w:t>
      </w:r>
      <w:r w:rsidRPr="00803F24">
        <w:rPr>
          <w:sz w:val="28"/>
          <w:szCs w:val="28"/>
          <w:lang w:val="en-US"/>
        </w:rPr>
        <w:t xml:space="preserve"> </w:t>
      </w:r>
      <w:r>
        <w:rPr>
          <w:sz w:val="28"/>
          <w:szCs w:val="28"/>
          <w:lang w:val="en-US"/>
        </w:rPr>
        <w:t>28</w:t>
      </w:r>
      <w:r w:rsidRPr="00803F24">
        <w:rPr>
          <w:sz w:val="28"/>
          <w:szCs w:val="28"/>
          <w:lang w:val="en-US"/>
        </w:rPr>
        <w:t xml:space="preserve">, </w:t>
      </w:r>
      <w:r>
        <w:rPr>
          <w:sz w:val="28"/>
          <w:szCs w:val="28"/>
          <w:lang w:val="en-US"/>
        </w:rPr>
        <w:t>20</w:t>
      </w:r>
      <w:r w:rsidR="00153720">
        <w:rPr>
          <w:sz w:val="28"/>
          <w:szCs w:val="28"/>
          <w:lang w:val="en-US"/>
        </w:rPr>
        <w:t>04</w:t>
      </w:r>
      <w:r w:rsidRPr="00803F24">
        <w:rPr>
          <w:sz w:val="28"/>
          <w:szCs w:val="28"/>
          <w:lang w:val="en-US"/>
        </w:rPr>
        <w:t xml:space="preserve"> (application</w:t>
      </w:r>
      <w:r w:rsidRPr="00975299">
        <w:rPr>
          <w:sz w:val="28"/>
          <w:szCs w:val="28"/>
          <w:lang w:val="en-US"/>
        </w:rPr>
        <w:t xml:space="preserve"> No.</w:t>
      </w:r>
      <w:r>
        <w:rPr>
          <w:sz w:val="28"/>
          <w:szCs w:val="28"/>
          <w:lang w:val="en-US"/>
        </w:rPr>
        <w:t xml:space="preserve"> </w:t>
      </w:r>
      <w:r w:rsidR="00153720" w:rsidRPr="0082088D">
        <w:rPr>
          <w:sz w:val="28"/>
          <w:szCs w:val="28"/>
        </w:rPr>
        <w:t>44912/98</w:t>
      </w:r>
      <w:r w:rsidRPr="00803F24">
        <w:rPr>
          <w:sz w:val="28"/>
          <w:szCs w:val="28"/>
          <w:lang w:val="en-US"/>
        </w:rPr>
        <w:t>),</w:t>
      </w:r>
    </w:p>
    <w:p w14:paraId="27874C8F" w14:textId="2205A1C7" w:rsidR="00153720" w:rsidRDefault="00153720" w:rsidP="008F65DC">
      <w:pPr>
        <w:pStyle w:val="a3"/>
        <w:spacing w:after="0" w:line="276" w:lineRule="auto"/>
        <w:ind w:firstLine="709"/>
        <w:jc w:val="both"/>
        <w:rPr>
          <w:sz w:val="28"/>
          <w:szCs w:val="28"/>
          <w:lang w:val="en-US"/>
        </w:rPr>
      </w:pPr>
      <w:r w:rsidRPr="00803F24">
        <w:rPr>
          <w:sz w:val="28"/>
          <w:szCs w:val="28"/>
          <w:lang w:val="en-US"/>
        </w:rPr>
        <w:t>“</w:t>
      </w:r>
      <w:proofErr w:type="spellStart"/>
      <w:r w:rsidRPr="0082088D">
        <w:rPr>
          <w:sz w:val="28"/>
          <w:szCs w:val="28"/>
        </w:rPr>
        <w:t>Saghinadze</w:t>
      </w:r>
      <w:proofErr w:type="spellEnd"/>
      <w:r w:rsidRPr="0082088D">
        <w:rPr>
          <w:sz w:val="28"/>
          <w:szCs w:val="28"/>
        </w:rPr>
        <w:t xml:space="preserve"> </w:t>
      </w:r>
      <w:proofErr w:type="spellStart"/>
      <w:r w:rsidRPr="0082088D">
        <w:rPr>
          <w:sz w:val="28"/>
          <w:szCs w:val="28"/>
        </w:rPr>
        <w:t>and</w:t>
      </w:r>
      <w:proofErr w:type="spellEnd"/>
      <w:r w:rsidRPr="0082088D">
        <w:rPr>
          <w:sz w:val="28"/>
          <w:szCs w:val="28"/>
        </w:rPr>
        <w:t xml:space="preserve"> </w:t>
      </w:r>
      <w:proofErr w:type="spellStart"/>
      <w:r w:rsidRPr="0082088D">
        <w:rPr>
          <w:sz w:val="28"/>
          <w:szCs w:val="28"/>
        </w:rPr>
        <w:t>Others</w:t>
      </w:r>
      <w:proofErr w:type="spellEnd"/>
      <w:r w:rsidRPr="0082088D">
        <w:rPr>
          <w:sz w:val="28"/>
          <w:szCs w:val="28"/>
        </w:rPr>
        <w:t xml:space="preserve"> v. </w:t>
      </w:r>
      <w:proofErr w:type="spellStart"/>
      <w:r w:rsidRPr="0082088D">
        <w:rPr>
          <w:sz w:val="28"/>
          <w:szCs w:val="28"/>
        </w:rPr>
        <w:t>Georgia</w:t>
      </w:r>
      <w:proofErr w:type="spellEnd"/>
      <w:r w:rsidRPr="00803F24">
        <w:rPr>
          <w:sz w:val="28"/>
          <w:szCs w:val="28"/>
          <w:lang w:val="en-US"/>
        </w:rPr>
        <w:t xml:space="preserve">” of </w:t>
      </w:r>
      <w:r>
        <w:rPr>
          <w:sz w:val="28"/>
          <w:szCs w:val="28"/>
          <w:lang w:val="en-US"/>
        </w:rPr>
        <w:t>May</w:t>
      </w:r>
      <w:r w:rsidRPr="00803F24">
        <w:rPr>
          <w:sz w:val="28"/>
          <w:szCs w:val="28"/>
          <w:lang w:val="en-US"/>
        </w:rPr>
        <w:t xml:space="preserve"> </w:t>
      </w:r>
      <w:r>
        <w:rPr>
          <w:sz w:val="28"/>
          <w:szCs w:val="28"/>
          <w:lang w:val="en-US"/>
        </w:rPr>
        <w:t>27</w:t>
      </w:r>
      <w:r w:rsidRPr="00803F24">
        <w:rPr>
          <w:sz w:val="28"/>
          <w:szCs w:val="28"/>
          <w:lang w:val="en-US"/>
        </w:rPr>
        <w:t xml:space="preserve">, </w:t>
      </w:r>
      <w:r>
        <w:rPr>
          <w:sz w:val="28"/>
          <w:szCs w:val="28"/>
          <w:lang w:val="en-US"/>
        </w:rPr>
        <w:t>2000</w:t>
      </w:r>
      <w:r w:rsidRPr="00803F24">
        <w:rPr>
          <w:sz w:val="28"/>
          <w:szCs w:val="28"/>
          <w:lang w:val="en-US"/>
        </w:rPr>
        <w:t xml:space="preserve"> (application</w:t>
      </w:r>
      <w:r w:rsidRPr="00975299">
        <w:rPr>
          <w:sz w:val="28"/>
          <w:szCs w:val="28"/>
          <w:lang w:val="en-US"/>
        </w:rPr>
        <w:t xml:space="preserve"> No.</w:t>
      </w:r>
      <w:r>
        <w:rPr>
          <w:sz w:val="28"/>
          <w:szCs w:val="28"/>
          <w:lang w:val="en-US"/>
        </w:rPr>
        <w:t xml:space="preserve"> </w:t>
      </w:r>
      <w:r w:rsidRPr="0082088D">
        <w:rPr>
          <w:sz w:val="28"/>
          <w:szCs w:val="28"/>
        </w:rPr>
        <w:t>18768/05</w:t>
      </w:r>
      <w:r w:rsidRPr="00803F24">
        <w:rPr>
          <w:sz w:val="28"/>
          <w:szCs w:val="28"/>
          <w:lang w:val="en-US"/>
        </w:rPr>
        <w:t>),</w:t>
      </w:r>
    </w:p>
    <w:p w14:paraId="51441EE1" w14:textId="2D2A9093" w:rsidR="00922D46" w:rsidRDefault="00922D46" w:rsidP="008F65DC">
      <w:pPr>
        <w:pStyle w:val="a3"/>
        <w:spacing w:after="0" w:line="276" w:lineRule="auto"/>
        <w:ind w:firstLine="709"/>
        <w:jc w:val="both"/>
        <w:rPr>
          <w:sz w:val="28"/>
          <w:szCs w:val="28"/>
          <w:lang w:val="en-US"/>
        </w:rPr>
      </w:pPr>
      <w:r w:rsidRPr="00803F24">
        <w:rPr>
          <w:sz w:val="28"/>
          <w:szCs w:val="28"/>
          <w:lang w:val="en-US"/>
        </w:rPr>
        <w:t>“</w:t>
      </w:r>
      <w:proofErr w:type="spellStart"/>
      <w:r w:rsidRPr="0082088D">
        <w:rPr>
          <w:sz w:val="28"/>
          <w:szCs w:val="28"/>
        </w:rPr>
        <w:t>Belane</w:t>
      </w:r>
      <w:proofErr w:type="spellEnd"/>
      <w:r w:rsidRPr="0082088D">
        <w:rPr>
          <w:sz w:val="28"/>
          <w:szCs w:val="28"/>
        </w:rPr>
        <w:t xml:space="preserve"> </w:t>
      </w:r>
      <w:proofErr w:type="spellStart"/>
      <w:r w:rsidRPr="0082088D">
        <w:rPr>
          <w:sz w:val="28"/>
          <w:szCs w:val="28"/>
        </w:rPr>
        <w:t>Nagy</w:t>
      </w:r>
      <w:proofErr w:type="spellEnd"/>
      <w:r w:rsidRPr="0082088D">
        <w:rPr>
          <w:sz w:val="28"/>
          <w:szCs w:val="28"/>
        </w:rPr>
        <w:t xml:space="preserve"> v. </w:t>
      </w:r>
      <w:proofErr w:type="spellStart"/>
      <w:r w:rsidRPr="0082088D">
        <w:rPr>
          <w:sz w:val="28"/>
          <w:szCs w:val="28"/>
        </w:rPr>
        <w:t>Hungary</w:t>
      </w:r>
      <w:proofErr w:type="spellEnd"/>
      <w:r w:rsidRPr="00803F24">
        <w:rPr>
          <w:sz w:val="28"/>
          <w:szCs w:val="28"/>
          <w:lang w:val="en-US"/>
        </w:rPr>
        <w:t xml:space="preserve">” of </w:t>
      </w:r>
      <w:r>
        <w:rPr>
          <w:sz w:val="28"/>
          <w:szCs w:val="28"/>
          <w:lang w:val="en-US"/>
        </w:rPr>
        <w:t>December</w:t>
      </w:r>
      <w:r w:rsidRPr="00803F24">
        <w:rPr>
          <w:sz w:val="28"/>
          <w:szCs w:val="28"/>
          <w:lang w:val="en-US"/>
        </w:rPr>
        <w:t xml:space="preserve"> </w:t>
      </w:r>
      <w:r>
        <w:rPr>
          <w:sz w:val="28"/>
          <w:szCs w:val="28"/>
          <w:lang w:val="en-US"/>
        </w:rPr>
        <w:t>13</w:t>
      </w:r>
      <w:r w:rsidRPr="00803F24">
        <w:rPr>
          <w:sz w:val="28"/>
          <w:szCs w:val="28"/>
          <w:lang w:val="en-US"/>
        </w:rPr>
        <w:t xml:space="preserve">, </w:t>
      </w:r>
      <w:r>
        <w:rPr>
          <w:sz w:val="28"/>
          <w:szCs w:val="28"/>
          <w:lang w:val="en-US"/>
        </w:rPr>
        <w:t>2016</w:t>
      </w:r>
      <w:r w:rsidRPr="00803F24">
        <w:rPr>
          <w:sz w:val="28"/>
          <w:szCs w:val="28"/>
          <w:lang w:val="en-US"/>
        </w:rPr>
        <w:t xml:space="preserve"> (application</w:t>
      </w:r>
      <w:r w:rsidRPr="00975299">
        <w:rPr>
          <w:sz w:val="28"/>
          <w:szCs w:val="28"/>
          <w:lang w:val="en-US"/>
        </w:rPr>
        <w:t xml:space="preserve"> No.</w:t>
      </w:r>
      <w:r>
        <w:rPr>
          <w:sz w:val="28"/>
          <w:szCs w:val="28"/>
          <w:lang w:val="en-US"/>
        </w:rPr>
        <w:t xml:space="preserve"> </w:t>
      </w:r>
      <w:r w:rsidRPr="0082088D">
        <w:rPr>
          <w:sz w:val="28"/>
          <w:szCs w:val="28"/>
        </w:rPr>
        <w:t>53080/13</w:t>
      </w:r>
      <w:r w:rsidRPr="00803F24">
        <w:rPr>
          <w:sz w:val="28"/>
          <w:szCs w:val="28"/>
          <w:lang w:val="en-US"/>
        </w:rPr>
        <w:t>),</w:t>
      </w:r>
    </w:p>
    <w:p w14:paraId="3E4E5CE0" w14:textId="72069AA2" w:rsidR="002E1D56" w:rsidRDefault="002E1D56" w:rsidP="008F65DC">
      <w:pPr>
        <w:pStyle w:val="a3"/>
        <w:spacing w:after="0" w:line="276" w:lineRule="auto"/>
        <w:ind w:firstLine="709"/>
        <w:jc w:val="both"/>
        <w:rPr>
          <w:sz w:val="28"/>
          <w:szCs w:val="28"/>
          <w:lang w:val="en-US"/>
        </w:rPr>
      </w:pPr>
      <w:r w:rsidRPr="00803F24">
        <w:rPr>
          <w:sz w:val="28"/>
          <w:szCs w:val="28"/>
          <w:lang w:val="en-US"/>
        </w:rPr>
        <w:t>“</w:t>
      </w:r>
      <w:proofErr w:type="spellStart"/>
      <w:r w:rsidRPr="0082088D">
        <w:rPr>
          <w:sz w:val="28"/>
          <w:szCs w:val="28"/>
        </w:rPr>
        <w:t>Burdov</w:t>
      </w:r>
      <w:proofErr w:type="spellEnd"/>
      <w:r w:rsidRPr="0082088D">
        <w:rPr>
          <w:sz w:val="28"/>
          <w:szCs w:val="28"/>
        </w:rPr>
        <w:t xml:space="preserve"> v. </w:t>
      </w:r>
      <w:proofErr w:type="spellStart"/>
      <w:r w:rsidRPr="0082088D">
        <w:rPr>
          <w:sz w:val="28"/>
          <w:szCs w:val="28"/>
        </w:rPr>
        <w:t>Russia</w:t>
      </w:r>
      <w:proofErr w:type="spellEnd"/>
      <w:r w:rsidRPr="00803F24">
        <w:rPr>
          <w:sz w:val="28"/>
          <w:szCs w:val="28"/>
          <w:lang w:val="en-US"/>
        </w:rPr>
        <w:t xml:space="preserve">” of </w:t>
      </w:r>
      <w:r>
        <w:rPr>
          <w:sz w:val="28"/>
          <w:szCs w:val="28"/>
          <w:lang w:val="en-US"/>
        </w:rPr>
        <w:t>September</w:t>
      </w:r>
      <w:r w:rsidRPr="00803F24">
        <w:rPr>
          <w:sz w:val="28"/>
          <w:szCs w:val="28"/>
          <w:lang w:val="en-US"/>
        </w:rPr>
        <w:t xml:space="preserve"> </w:t>
      </w:r>
      <w:r>
        <w:rPr>
          <w:sz w:val="28"/>
          <w:szCs w:val="28"/>
          <w:lang w:val="en-US"/>
        </w:rPr>
        <w:t>4</w:t>
      </w:r>
      <w:r w:rsidRPr="00803F24">
        <w:rPr>
          <w:sz w:val="28"/>
          <w:szCs w:val="28"/>
          <w:lang w:val="en-US"/>
        </w:rPr>
        <w:t xml:space="preserve">, </w:t>
      </w:r>
      <w:r>
        <w:rPr>
          <w:sz w:val="28"/>
          <w:szCs w:val="28"/>
          <w:lang w:val="en-US"/>
        </w:rPr>
        <w:t>2002</w:t>
      </w:r>
      <w:r w:rsidRPr="00803F24">
        <w:rPr>
          <w:sz w:val="28"/>
          <w:szCs w:val="28"/>
          <w:lang w:val="en-US"/>
        </w:rPr>
        <w:t xml:space="preserve"> (application</w:t>
      </w:r>
      <w:r w:rsidRPr="00975299">
        <w:rPr>
          <w:sz w:val="28"/>
          <w:szCs w:val="28"/>
          <w:lang w:val="en-US"/>
        </w:rPr>
        <w:t xml:space="preserve"> No.</w:t>
      </w:r>
      <w:r>
        <w:rPr>
          <w:sz w:val="28"/>
          <w:szCs w:val="28"/>
          <w:lang w:val="en-US"/>
        </w:rPr>
        <w:t xml:space="preserve"> </w:t>
      </w:r>
      <w:r w:rsidRPr="0082088D">
        <w:rPr>
          <w:sz w:val="28"/>
          <w:szCs w:val="28"/>
        </w:rPr>
        <w:t>59498/00</w:t>
      </w:r>
      <w:r w:rsidRPr="00803F24">
        <w:rPr>
          <w:sz w:val="28"/>
          <w:szCs w:val="28"/>
          <w:lang w:val="en-US"/>
        </w:rPr>
        <w:t>),</w:t>
      </w:r>
    </w:p>
    <w:p w14:paraId="552823AD" w14:textId="54E8CC59" w:rsidR="002E1D56" w:rsidRDefault="002E1D56" w:rsidP="008F65DC">
      <w:pPr>
        <w:pStyle w:val="a3"/>
        <w:spacing w:after="0" w:line="276" w:lineRule="auto"/>
        <w:ind w:firstLine="709"/>
        <w:jc w:val="both"/>
        <w:rPr>
          <w:sz w:val="28"/>
          <w:szCs w:val="28"/>
          <w:lang w:val="en-US"/>
        </w:rPr>
      </w:pPr>
      <w:r w:rsidRPr="00803F24">
        <w:rPr>
          <w:sz w:val="28"/>
          <w:szCs w:val="28"/>
          <w:lang w:val="en-US"/>
        </w:rPr>
        <w:t>“</w:t>
      </w:r>
      <w:proofErr w:type="spellStart"/>
      <w:r w:rsidRPr="0082088D">
        <w:rPr>
          <w:sz w:val="28"/>
          <w:szCs w:val="28"/>
        </w:rPr>
        <w:t>De</w:t>
      </w:r>
      <w:proofErr w:type="spellEnd"/>
      <w:r w:rsidRPr="0082088D">
        <w:rPr>
          <w:sz w:val="28"/>
          <w:szCs w:val="28"/>
        </w:rPr>
        <w:t xml:space="preserve"> </w:t>
      </w:r>
      <w:proofErr w:type="spellStart"/>
      <w:r w:rsidRPr="0082088D">
        <w:rPr>
          <w:sz w:val="28"/>
          <w:szCs w:val="28"/>
        </w:rPr>
        <w:t>Luca</w:t>
      </w:r>
      <w:proofErr w:type="spellEnd"/>
      <w:r w:rsidRPr="0082088D">
        <w:rPr>
          <w:sz w:val="28"/>
          <w:szCs w:val="28"/>
        </w:rPr>
        <w:t xml:space="preserve"> v. </w:t>
      </w:r>
      <w:proofErr w:type="spellStart"/>
      <w:r w:rsidRPr="0082088D">
        <w:rPr>
          <w:sz w:val="28"/>
          <w:szCs w:val="28"/>
        </w:rPr>
        <w:t>Italy</w:t>
      </w:r>
      <w:proofErr w:type="spellEnd"/>
      <w:r w:rsidRPr="00803F24">
        <w:rPr>
          <w:sz w:val="28"/>
          <w:szCs w:val="28"/>
          <w:lang w:val="en-US"/>
        </w:rPr>
        <w:t xml:space="preserve">” of </w:t>
      </w:r>
      <w:r>
        <w:rPr>
          <w:sz w:val="28"/>
          <w:szCs w:val="28"/>
          <w:lang w:val="en-US"/>
        </w:rPr>
        <w:t>September</w:t>
      </w:r>
      <w:r w:rsidRPr="00803F24">
        <w:rPr>
          <w:sz w:val="28"/>
          <w:szCs w:val="28"/>
          <w:lang w:val="en-US"/>
        </w:rPr>
        <w:t xml:space="preserve"> </w:t>
      </w:r>
      <w:r>
        <w:rPr>
          <w:sz w:val="28"/>
          <w:szCs w:val="28"/>
          <w:lang w:val="en-US"/>
        </w:rPr>
        <w:t>24</w:t>
      </w:r>
      <w:r w:rsidRPr="00803F24">
        <w:rPr>
          <w:sz w:val="28"/>
          <w:szCs w:val="28"/>
          <w:lang w:val="en-US"/>
        </w:rPr>
        <w:t xml:space="preserve">, </w:t>
      </w:r>
      <w:r>
        <w:rPr>
          <w:sz w:val="28"/>
          <w:szCs w:val="28"/>
          <w:lang w:val="en-US"/>
        </w:rPr>
        <w:t>2013</w:t>
      </w:r>
      <w:r w:rsidRPr="00803F24">
        <w:rPr>
          <w:sz w:val="28"/>
          <w:szCs w:val="28"/>
          <w:lang w:val="en-US"/>
        </w:rPr>
        <w:t xml:space="preserve"> (application</w:t>
      </w:r>
      <w:r w:rsidRPr="00975299">
        <w:rPr>
          <w:sz w:val="28"/>
          <w:szCs w:val="28"/>
          <w:lang w:val="en-US"/>
        </w:rPr>
        <w:t xml:space="preserve"> No.</w:t>
      </w:r>
      <w:r>
        <w:rPr>
          <w:sz w:val="28"/>
          <w:szCs w:val="28"/>
          <w:lang w:val="en-US"/>
        </w:rPr>
        <w:t xml:space="preserve"> </w:t>
      </w:r>
      <w:r w:rsidRPr="0082088D">
        <w:rPr>
          <w:sz w:val="28"/>
          <w:szCs w:val="28"/>
        </w:rPr>
        <w:t>43870/04</w:t>
      </w:r>
      <w:r w:rsidRPr="00803F24">
        <w:rPr>
          <w:sz w:val="28"/>
          <w:szCs w:val="28"/>
          <w:lang w:val="en-US"/>
        </w:rPr>
        <w:t>),</w:t>
      </w:r>
    </w:p>
    <w:p w14:paraId="30D368E8" w14:textId="59EADA56" w:rsidR="002E1D56" w:rsidRDefault="002E1D56" w:rsidP="008F65DC">
      <w:pPr>
        <w:pStyle w:val="a3"/>
        <w:spacing w:after="0" w:line="276" w:lineRule="auto"/>
        <w:ind w:firstLine="709"/>
        <w:jc w:val="both"/>
        <w:rPr>
          <w:sz w:val="28"/>
          <w:szCs w:val="28"/>
          <w:lang w:val="en-US"/>
        </w:rPr>
      </w:pPr>
      <w:r w:rsidRPr="00803F24">
        <w:rPr>
          <w:sz w:val="28"/>
          <w:szCs w:val="28"/>
          <w:lang w:val="en-US"/>
        </w:rPr>
        <w:t>“</w:t>
      </w:r>
      <w:proofErr w:type="spellStart"/>
      <w:r w:rsidRPr="0082088D">
        <w:rPr>
          <w:sz w:val="28"/>
          <w:szCs w:val="28"/>
        </w:rPr>
        <w:t>Anheuser-Busch</w:t>
      </w:r>
      <w:proofErr w:type="spellEnd"/>
      <w:r w:rsidRPr="0082088D">
        <w:rPr>
          <w:sz w:val="28"/>
          <w:szCs w:val="28"/>
        </w:rPr>
        <w:t xml:space="preserve"> </w:t>
      </w:r>
      <w:proofErr w:type="spellStart"/>
      <w:r w:rsidRPr="0082088D">
        <w:rPr>
          <w:sz w:val="28"/>
          <w:szCs w:val="28"/>
        </w:rPr>
        <w:t>Іпс</w:t>
      </w:r>
      <w:proofErr w:type="spellEnd"/>
      <w:r w:rsidRPr="0082088D">
        <w:rPr>
          <w:sz w:val="28"/>
          <w:szCs w:val="28"/>
        </w:rPr>
        <w:t xml:space="preserve">. v. </w:t>
      </w:r>
      <w:proofErr w:type="spellStart"/>
      <w:r w:rsidRPr="0082088D">
        <w:rPr>
          <w:sz w:val="28"/>
          <w:szCs w:val="28"/>
        </w:rPr>
        <w:t>Portugal</w:t>
      </w:r>
      <w:proofErr w:type="spellEnd"/>
      <w:r w:rsidRPr="00803F24">
        <w:rPr>
          <w:sz w:val="28"/>
          <w:szCs w:val="28"/>
          <w:lang w:val="en-US"/>
        </w:rPr>
        <w:t xml:space="preserve">” of </w:t>
      </w:r>
      <w:r>
        <w:rPr>
          <w:sz w:val="28"/>
          <w:szCs w:val="28"/>
          <w:lang w:val="en-US"/>
        </w:rPr>
        <w:t>January</w:t>
      </w:r>
      <w:r w:rsidRPr="00803F24">
        <w:rPr>
          <w:sz w:val="28"/>
          <w:szCs w:val="28"/>
          <w:lang w:val="en-US"/>
        </w:rPr>
        <w:t xml:space="preserve"> </w:t>
      </w:r>
      <w:r>
        <w:rPr>
          <w:sz w:val="28"/>
          <w:szCs w:val="28"/>
          <w:lang w:val="en-US"/>
        </w:rPr>
        <w:t>11</w:t>
      </w:r>
      <w:r w:rsidRPr="00803F24">
        <w:rPr>
          <w:sz w:val="28"/>
          <w:szCs w:val="28"/>
          <w:lang w:val="en-US"/>
        </w:rPr>
        <w:t xml:space="preserve">, </w:t>
      </w:r>
      <w:r>
        <w:rPr>
          <w:sz w:val="28"/>
          <w:szCs w:val="28"/>
          <w:lang w:val="en-US"/>
        </w:rPr>
        <w:t>2007</w:t>
      </w:r>
      <w:r w:rsidRPr="00803F24">
        <w:rPr>
          <w:sz w:val="28"/>
          <w:szCs w:val="28"/>
          <w:lang w:val="en-US"/>
        </w:rPr>
        <w:t xml:space="preserve"> (application</w:t>
      </w:r>
      <w:r w:rsidRPr="00975299">
        <w:rPr>
          <w:sz w:val="28"/>
          <w:szCs w:val="28"/>
          <w:lang w:val="en-US"/>
        </w:rPr>
        <w:t xml:space="preserve"> No.</w:t>
      </w:r>
      <w:r>
        <w:rPr>
          <w:sz w:val="28"/>
          <w:szCs w:val="28"/>
          <w:lang w:val="en-US"/>
        </w:rPr>
        <w:t xml:space="preserve"> </w:t>
      </w:r>
      <w:r w:rsidRPr="0082088D">
        <w:rPr>
          <w:sz w:val="28"/>
          <w:szCs w:val="28"/>
        </w:rPr>
        <w:t>73049/01</w:t>
      </w:r>
      <w:r w:rsidRPr="00803F24">
        <w:rPr>
          <w:sz w:val="28"/>
          <w:szCs w:val="28"/>
          <w:lang w:val="en-US"/>
        </w:rPr>
        <w:t>),</w:t>
      </w:r>
    </w:p>
    <w:p w14:paraId="4D1C15F3" w14:textId="77777777" w:rsidR="00153720" w:rsidRDefault="00153720" w:rsidP="008F65DC">
      <w:pPr>
        <w:pStyle w:val="a3"/>
        <w:spacing w:after="0" w:line="276" w:lineRule="auto"/>
        <w:ind w:firstLine="709"/>
        <w:jc w:val="both"/>
        <w:rPr>
          <w:sz w:val="28"/>
          <w:szCs w:val="28"/>
          <w:lang w:val="en-US"/>
        </w:rPr>
      </w:pPr>
    </w:p>
    <w:sectPr w:rsidR="00153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A2"/>
    <w:rsid w:val="00153720"/>
    <w:rsid w:val="001E0BA2"/>
    <w:rsid w:val="002B233E"/>
    <w:rsid w:val="002C7580"/>
    <w:rsid w:val="002E1D56"/>
    <w:rsid w:val="003772DC"/>
    <w:rsid w:val="00403A86"/>
    <w:rsid w:val="00457041"/>
    <w:rsid w:val="004A06BF"/>
    <w:rsid w:val="00552830"/>
    <w:rsid w:val="005C1D47"/>
    <w:rsid w:val="005F633A"/>
    <w:rsid w:val="007237AD"/>
    <w:rsid w:val="00723830"/>
    <w:rsid w:val="007653E2"/>
    <w:rsid w:val="0077741A"/>
    <w:rsid w:val="0078034F"/>
    <w:rsid w:val="008F65DC"/>
    <w:rsid w:val="00922D46"/>
    <w:rsid w:val="00A958F5"/>
    <w:rsid w:val="00AF0E8B"/>
    <w:rsid w:val="00B82CDB"/>
    <w:rsid w:val="00BA1AFE"/>
    <w:rsid w:val="00BF011D"/>
    <w:rsid w:val="00CA2AFF"/>
    <w:rsid w:val="00CF3C56"/>
    <w:rsid w:val="00DD2E99"/>
    <w:rsid w:val="00E45349"/>
    <w:rsid w:val="00E74813"/>
    <w:rsid w:val="00E87645"/>
    <w:rsid w:val="00EE7F33"/>
    <w:rsid w:val="00F34A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FEFF"/>
  <w15:chartTrackingRefBased/>
  <w15:docId w15:val="{1F5555E6-1A92-F244-BCDD-39280D7E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F0E8B"/>
    <w:pPr>
      <w:autoSpaceDE w:val="0"/>
      <w:autoSpaceDN w:val="0"/>
      <w:adjustRightInd w:val="0"/>
      <w:spacing w:before="100" w:after="100"/>
    </w:pPr>
    <w:rPr>
      <w:rFonts w:ascii="Arial" w:eastAsia="Times New Roman" w:hAnsi="Arial" w:cs="Arial"/>
      <w:b/>
      <w:bCs/>
      <w:color w:val="000080"/>
      <w:lang w:val="uk-UA" w:eastAsia="uk-UA"/>
    </w:rPr>
  </w:style>
  <w:style w:type="paragraph" w:customStyle="1" w:styleId="tit">
    <w:name w:val="tit"/>
    <w:basedOn w:val="a"/>
    <w:uiPriority w:val="99"/>
    <w:rsid w:val="00AF0E8B"/>
    <w:pPr>
      <w:autoSpaceDE w:val="0"/>
      <w:autoSpaceDN w:val="0"/>
      <w:adjustRightInd w:val="0"/>
      <w:spacing w:before="100" w:after="100"/>
    </w:pPr>
    <w:rPr>
      <w:rFonts w:ascii="Times New Roman" w:eastAsia="Times New Roman" w:hAnsi="Times New Roman" w:cs="Times New Roman"/>
      <w:lang w:val="uk-UA" w:eastAsia="uk-UA"/>
    </w:rPr>
  </w:style>
  <w:style w:type="paragraph" w:styleId="a3">
    <w:name w:val="Body Text"/>
    <w:basedOn w:val="a"/>
    <w:link w:val="a4"/>
    <w:uiPriority w:val="99"/>
    <w:unhideWhenUsed/>
    <w:rsid w:val="007653E2"/>
    <w:pPr>
      <w:autoSpaceDE w:val="0"/>
      <w:autoSpaceDN w:val="0"/>
      <w:adjustRightInd w:val="0"/>
      <w:spacing w:after="120"/>
    </w:pPr>
    <w:rPr>
      <w:rFonts w:ascii="Times New Roman" w:eastAsia="Times New Roman" w:hAnsi="Times New Roman" w:cs="Times New Roman"/>
      <w:lang w:val="uk-UA" w:eastAsia="uk-UA"/>
    </w:rPr>
  </w:style>
  <w:style w:type="character" w:customStyle="1" w:styleId="a4">
    <w:name w:val="Основний текст Знак"/>
    <w:basedOn w:val="a0"/>
    <w:link w:val="a3"/>
    <w:uiPriority w:val="99"/>
    <w:rsid w:val="007653E2"/>
    <w:rPr>
      <w:rFonts w:ascii="Times New Roman" w:eastAsia="Times New Roman" w:hAnsi="Times New Roman" w:cs="Times New Roman"/>
      <w:lang w:val="uk-UA" w:eastAsia="uk-UA"/>
    </w:rPr>
  </w:style>
  <w:style w:type="character" w:customStyle="1" w:styleId="s7d2086b4">
    <w:name w:val="s7d2086b4"/>
    <w:rsid w:val="00BF011D"/>
  </w:style>
  <w:style w:type="character" w:customStyle="1" w:styleId="wordhighlighted">
    <w:name w:val="wordhighlighted"/>
    <w:basedOn w:val="a0"/>
    <w:rsid w:val="00BF0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4996</Words>
  <Characters>2848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Ольга І. Кравченко</cp:lastModifiedBy>
  <cp:revision>3</cp:revision>
  <dcterms:created xsi:type="dcterms:W3CDTF">2022-06-27T06:06:00Z</dcterms:created>
  <dcterms:modified xsi:type="dcterms:W3CDTF">2022-06-27T06:13:00Z</dcterms:modified>
</cp:coreProperties>
</file>