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614" w:rsidRPr="004E615D" w:rsidRDefault="00F27813" w:rsidP="005E5067">
      <w:pPr>
        <w:ind w:right="50"/>
        <w:jc w:val="both"/>
        <w:rPr>
          <w:b/>
          <w:bCs/>
          <w:sz w:val="28"/>
          <w:szCs w:val="28"/>
          <w:lang w:val="en-GB"/>
        </w:rPr>
      </w:pPr>
      <w:r w:rsidRPr="004E615D">
        <w:rPr>
          <w:b/>
          <w:bCs/>
          <w:sz w:val="28"/>
          <w:szCs w:val="28"/>
          <w:lang w:val="en-GB"/>
        </w:rPr>
        <w:t>Summary to the Decision of the Second Senate of the Const</w:t>
      </w:r>
      <w:r w:rsidR="00D807B1" w:rsidRPr="004E615D">
        <w:rPr>
          <w:b/>
          <w:bCs/>
          <w:sz w:val="28"/>
          <w:szCs w:val="28"/>
          <w:lang w:val="en-GB"/>
        </w:rPr>
        <w:t>itutional Court of Ukraine No. </w:t>
      </w:r>
      <w:r w:rsidRPr="004E615D">
        <w:rPr>
          <w:b/>
          <w:bCs/>
          <w:sz w:val="28"/>
          <w:szCs w:val="28"/>
          <w:lang w:val="en-GB"/>
        </w:rPr>
        <w:t>5-r(І</w:t>
      </w:r>
      <w:r w:rsidR="00C12929" w:rsidRPr="004E615D">
        <w:rPr>
          <w:b/>
          <w:bCs/>
          <w:sz w:val="28"/>
          <w:szCs w:val="28"/>
          <w:lang w:val="en-GB"/>
        </w:rPr>
        <w:t>I</w:t>
      </w:r>
      <w:r w:rsidR="005B4EE9" w:rsidRPr="004E615D">
        <w:rPr>
          <w:b/>
          <w:bCs/>
          <w:sz w:val="28"/>
          <w:szCs w:val="28"/>
          <w:lang w:val="en-GB"/>
        </w:rPr>
        <w:t>)/</w:t>
      </w:r>
      <w:r w:rsidRPr="004E615D">
        <w:rPr>
          <w:b/>
          <w:bCs/>
          <w:sz w:val="28"/>
          <w:szCs w:val="28"/>
          <w:lang w:val="en-GB"/>
        </w:rPr>
        <w:t>2024 dated April</w:t>
      </w:r>
      <w:r w:rsidR="00D807B1" w:rsidRPr="004E615D">
        <w:rPr>
          <w:b/>
          <w:bCs/>
          <w:sz w:val="28"/>
          <w:szCs w:val="28"/>
          <w:lang w:val="en-GB"/>
        </w:rPr>
        <w:t> </w:t>
      </w:r>
      <w:r w:rsidRPr="004E615D">
        <w:rPr>
          <w:b/>
          <w:bCs/>
          <w:sz w:val="28"/>
          <w:szCs w:val="28"/>
          <w:lang w:val="en-GB"/>
        </w:rPr>
        <w:t xml:space="preserve">10, 2024 in the case upon the constitutional complaint of </w:t>
      </w:r>
      <w:r w:rsidR="005B4EE9" w:rsidRPr="004E615D">
        <w:rPr>
          <w:b/>
          <w:bCs/>
          <w:sz w:val="28"/>
          <w:szCs w:val="28"/>
          <w:lang w:val="en-GB"/>
        </w:rPr>
        <w:t xml:space="preserve">Hanna Pleskach regarding the compliance of the </w:t>
      </w:r>
      <w:r w:rsidR="00D807B1" w:rsidRPr="004E615D">
        <w:rPr>
          <w:b/>
          <w:bCs/>
          <w:sz w:val="28"/>
          <w:szCs w:val="28"/>
          <w:lang w:val="en-GB"/>
        </w:rPr>
        <w:t>individual provision of Article </w:t>
      </w:r>
      <w:r w:rsidR="005B4EE9" w:rsidRPr="004E615D">
        <w:rPr>
          <w:b/>
          <w:bCs/>
          <w:sz w:val="28"/>
          <w:szCs w:val="28"/>
          <w:lang w:val="en-GB"/>
        </w:rPr>
        <w:t>459.1 of the Criminal Procedure Code of Ukraine with the Constitution of Ukraine (constitutionality)</w:t>
      </w:r>
    </w:p>
    <w:p w:rsidR="00AA4D83" w:rsidRPr="004E615D" w:rsidRDefault="00AA4D83" w:rsidP="00AA4D83">
      <w:pPr>
        <w:ind w:right="50"/>
        <w:rPr>
          <w:b/>
          <w:sz w:val="28"/>
          <w:szCs w:val="28"/>
          <w:lang w:val="en-GB"/>
        </w:rPr>
      </w:pPr>
    </w:p>
    <w:p w:rsidR="006B05CF" w:rsidRPr="004E615D" w:rsidRDefault="00FD5EAD" w:rsidP="00C12929">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 xml:space="preserve">The subject of the right to constitutional complaint </w:t>
      </w:r>
      <w:r w:rsidR="006B05CF" w:rsidRPr="004E615D">
        <w:rPr>
          <w:rFonts w:ascii="Times New Roman" w:hAnsi="Times New Roman" w:cs="Times New Roman"/>
          <w:sz w:val="28"/>
          <w:szCs w:val="28"/>
          <w:lang w:val="en-GB"/>
        </w:rPr>
        <w:t xml:space="preserve">– </w:t>
      </w:r>
      <w:r w:rsidRPr="004E615D">
        <w:rPr>
          <w:rFonts w:ascii="Times New Roman" w:hAnsi="Times New Roman" w:cs="Times New Roman"/>
          <w:sz w:val="28"/>
          <w:szCs w:val="28"/>
          <w:lang w:val="en-GB"/>
        </w:rPr>
        <w:t>H. Pleskach</w:t>
      </w:r>
      <w:r w:rsidR="006B05CF" w:rsidRPr="004E615D">
        <w:rPr>
          <w:rFonts w:ascii="Times New Roman" w:hAnsi="Times New Roman" w:cs="Times New Roman"/>
          <w:sz w:val="28"/>
          <w:szCs w:val="28"/>
          <w:lang w:val="en-GB"/>
        </w:rPr>
        <w:t xml:space="preserve"> – </w:t>
      </w:r>
      <w:r w:rsidRPr="004E615D">
        <w:rPr>
          <w:rFonts w:ascii="Times New Roman" w:hAnsi="Times New Roman" w:cs="Times New Roman"/>
          <w:sz w:val="28"/>
          <w:szCs w:val="28"/>
          <w:lang w:val="en-GB"/>
        </w:rPr>
        <w:t xml:space="preserve">appealed to the Constitutional Court of Ukraine to verify the compliance of the </w:t>
      </w:r>
      <w:r w:rsidR="00D807B1" w:rsidRPr="004E615D">
        <w:rPr>
          <w:rFonts w:ascii="Times New Roman" w:hAnsi="Times New Roman" w:cs="Times New Roman"/>
          <w:sz w:val="28"/>
          <w:szCs w:val="28"/>
          <w:lang w:val="en-GB"/>
        </w:rPr>
        <w:t>individual provision of Article </w:t>
      </w:r>
      <w:r w:rsidRPr="004E615D">
        <w:rPr>
          <w:rFonts w:ascii="Times New Roman" w:hAnsi="Times New Roman" w:cs="Times New Roman"/>
          <w:sz w:val="28"/>
          <w:szCs w:val="28"/>
          <w:lang w:val="en-GB"/>
        </w:rPr>
        <w:t xml:space="preserve">459.1 of the </w:t>
      </w:r>
      <w:r w:rsidR="00C12929" w:rsidRPr="004E615D">
        <w:rPr>
          <w:rFonts w:ascii="Times New Roman" w:hAnsi="Times New Roman" w:cs="Times New Roman"/>
          <w:sz w:val="28"/>
          <w:szCs w:val="28"/>
          <w:lang w:val="en-GB"/>
        </w:rPr>
        <w:t xml:space="preserve">Criminal Procedure Code </w:t>
      </w:r>
      <w:r w:rsidR="007254AE">
        <w:rPr>
          <w:rFonts w:ascii="Times New Roman" w:hAnsi="Times New Roman" w:cs="Times New Roman"/>
          <w:sz w:val="28"/>
          <w:szCs w:val="28"/>
          <w:lang w:val="en-GB"/>
        </w:rPr>
        <w:t>of Ukraine</w:t>
      </w:r>
      <w:r w:rsidR="00C12929" w:rsidRPr="004E615D">
        <w:rPr>
          <w:rFonts w:ascii="Times New Roman" w:hAnsi="Times New Roman" w:cs="Times New Roman"/>
          <w:sz w:val="28"/>
          <w:szCs w:val="28"/>
          <w:lang w:val="en-GB"/>
        </w:rPr>
        <w:t>(hereinafter, the “Code”).</w:t>
      </w:r>
    </w:p>
    <w:p w:rsidR="00C540EC" w:rsidRPr="004E615D" w:rsidRDefault="00C12929" w:rsidP="00C12929">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The subject of constitutional review</w:t>
      </w:r>
      <w:r w:rsidR="00D807B1" w:rsidRPr="004E615D">
        <w:rPr>
          <w:rFonts w:ascii="Times New Roman" w:hAnsi="Times New Roman" w:cs="Times New Roman"/>
          <w:sz w:val="28"/>
          <w:szCs w:val="28"/>
          <w:lang w:val="en-GB"/>
        </w:rPr>
        <w:t xml:space="preserve"> in this case is not Article </w:t>
      </w:r>
      <w:r w:rsidRPr="004E615D">
        <w:rPr>
          <w:rFonts w:ascii="Times New Roman" w:hAnsi="Times New Roman" w:cs="Times New Roman"/>
          <w:sz w:val="28"/>
          <w:szCs w:val="28"/>
          <w:lang w:val="en-GB"/>
        </w:rPr>
        <w:t>459.1 of the Code as a whole, but only its</w:t>
      </w:r>
      <w:r w:rsidR="00842722">
        <w:rPr>
          <w:rFonts w:ascii="Times New Roman" w:hAnsi="Times New Roman" w:cs="Times New Roman"/>
          <w:sz w:val="28"/>
          <w:szCs w:val="28"/>
          <w:lang w:val="en-GB"/>
        </w:rPr>
        <w:t xml:space="preserve"> </w:t>
      </w:r>
      <w:r w:rsidRPr="004E615D">
        <w:rPr>
          <w:rFonts w:ascii="Times New Roman" w:hAnsi="Times New Roman" w:cs="Times New Roman"/>
          <w:sz w:val="28"/>
          <w:szCs w:val="28"/>
          <w:lang w:val="en-GB"/>
        </w:rPr>
        <w:t>individual provision regulating the review of court decisions due to newly discovered circumstances, namely: “court decisions that have entered into force may be reviewed due to newly discovered circumstances” (hereinafter, the “impugned</w:t>
      </w:r>
      <w:r w:rsidR="00D807B1" w:rsidRPr="004E615D">
        <w:rPr>
          <w:rFonts w:ascii="Times New Roman" w:hAnsi="Times New Roman" w:cs="Times New Roman"/>
          <w:sz w:val="28"/>
          <w:szCs w:val="28"/>
          <w:lang w:val="en-GB"/>
        </w:rPr>
        <w:t xml:space="preserve"> provision of Article </w:t>
      </w:r>
      <w:r w:rsidRPr="004E615D">
        <w:rPr>
          <w:rFonts w:ascii="Times New Roman" w:hAnsi="Times New Roman" w:cs="Times New Roman"/>
          <w:sz w:val="28"/>
          <w:szCs w:val="28"/>
          <w:lang w:val="en-GB"/>
        </w:rPr>
        <w:t>459 of the Code”).</w:t>
      </w:r>
    </w:p>
    <w:p w:rsidR="00041DCE" w:rsidRPr="004E615D" w:rsidRDefault="00C12929" w:rsidP="00C12929">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 xml:space="preserve">Newly discovered circumstances are evidence and other circumstances that were unknown at the time of the court decision delivery, and their consideration during the review of the court decision may lead to its </w:t>
      </w:r>
      <w:r w:rsidR="00FD0DBB" w:rsidRPr="004E615D">
        <w:rPr>
          <w:rFonts w:ascii="Times New Roman" w:hAnsi="Times New Roman" w:cs="Times New Roman"/>
          <w:sz w:val="28"/>
          <w:szCs w:val="28"/>
          <w:lang w:val="en-GB"/>
        </w:rPr>
        <w:t>alteration</w:t>
      </w:r>
      <w:r w:rsidRPr="004E615D">
        <w:rPr>
          <w:rFonts w:ascii="Times New Roman" w:hAnsi="Times New Roman" w:cs="Times New Roman"/>
          <w:sz w:val="28"/>
          <w:szCs w:val="28"/>
          <w:lang w:val="en-GB"/>
        </w:rPr>
        <w:t>.</w:t>
      </w:r>
    </w:p>
    <w:p w:rsidR="00267822" w:rsidRPr="004E615D" w:rsidRDefault="00FD0DBB" w:rsidP="00FD0DBB">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Given the fundamental principles of judicial proceedings and the need to observe the principle of the finality of a court decision (</w:t>
      </w:r>
      <w:r w:rsidRPr="004E615D">
        <w:rPr>
          <w:rFonts w:ascii="Times New Roman" w:hAnsi="Times New Roman" w:cs="Times New Roman"/>
          <w:i/>
          <w:iCs/>
          <w:sz w:val="28"/>
          <w:szCs w:val="28"/>
          <w:lang w:val="en-GB"/>
        </w:rPr>
        <w:t>res judicata</w:t>
      </w:r>
      <w:r w:rsidRPr="004E615D">
        <w:rPr>
          <w:rFonts w:ascii="Times New Roman" w:hAnsi="Times New Roman" w:cs="Times New Roman"/>
          <w:sz w:val="28"/>
          <w:szCs w:val="28"/>
          <w:lang w:val="en-GB"/>
        </w:rPr>
        <w:t>), the Constitutional Court of Ukraine considers that, in contrast to an appellate review of a case and a cassation appeal of a court decision, the review of court decisions due to newly discovered circumstances is an extraordinary type of review of court decisions.</w:t>
      </w:r>
    </w:p>
    <w:p w:rsidR="00A21FA8" w:rsidRPr="004E615D" w:rsidRDefault="00363D69" w:rsidP="0050137A">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The legitimate purpose of defining in the Code the institute of review due to newly discovered circumstances of court decisions that have entered into force is to ensure a fair balance in the field of criminal law between the finality of a court decision (</w:t>
      </w:r>
      <w:r w:rsidRPr="004E615D">
        <w:rPr>
          <w:rFonts w:ascii="Times New Roman" w:hAnsi="Times New Roman" w:cs="Times New Roman"/>
          <w:i/>
          <w:sz w:val="28"/>
          <w:szCs w:val="28"/>
          <w:lang w:val="en-GB"/>
        </w:rPr>
        <w:t>res judicata</w:t>
      </w:r>
      <w:r w:rsidRPr="004E615D">
        <w:rPr>
          <w:rFonts w:ascii="Times New Roman" w:hAnsi="Times New Roman" w:cs="Times New Roman"/>
          <w:sz w:val="28"/>
          <w:szCs w:val="28"/>
          <w:lang w:val="en-GB"/>
        </w:rPr>
        <w:t xml:space="preserve">) as an element of the principle of legal certainty and the justice that should be achieved </w:t>
      </w:r>
      <w:r w:rsidR="0050137A" w:rsidRPr="004E615D">
        <w:rPr>
          <w:rFonts w:ascii="Times New Roman" w:hAnsi="Times New Roman" w:cs="Times New Roman"/>
          <w:sz w:val="28"/>
          <w:szCs w:val="28"/>
          <w:lang w:val="en-GB"/>
        </w:rPr>
        <w:t>as a consequence the administration of justice</w:t>
      </w:r>
      <w:r w:rsidRPr="004E615D">
        <w:rPr>
          <w:rFonts w:ascii="Times New Roman" w:hAnsi="Times New Roman" w:cs="Times New Roman"/>
          <w:sz w:val="28"/>
          <w:szCs w:val="28"/>
          <w:lang w:val="en-GB"/>
        </w:rPr>
        <w:t>.</w:t>
      </w:r>
    </w:p>
    <w:p w:rsidR="00A21FA8" w:rsidRPr="004E615D" w:rsidRDefault="003F4482" w:rsidP="007D1B2B">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 xml:space="preserve">The Constitutional Court </w:t>
      </w:r>
      <w:r w:rsidR="009D2C9E" w:rsidRPr="004E615D">
        <w:rPr>
          <w:rFonts w:ascii="Times New Roman" w:hAnsi="Times New Roman" w:cs="Times New Roman"/>
          <w:sz w:val="28"/>
          <w:szCs w:val="28"/>
          <w:lang w:val="en-GB"/>
        </w:rPr>
        <w:t xml:space="preserve">of Ukraine </w:t>
      </w:r>
      <w:r w:rsidRPr="004E615D">
        <w:rPr>
          <w:rFonts w:ascii="Times New Roman" w:hAnsi="Times New Roman" w:cs="Times New Roman"/>
          <w:sz w:val="28"/>
          <w:szCs w:val="28"/>
          <w:lang w:val="en-GB"/>
        </w:rPr>
        <w:t>considers that the observance of the principle of finality of a court decision (res judicata) does not entail a categorical prohibition on the review</w:t>
      </w:r>
      <w:r w:rsidR="007D1B2B" w:rsidRPr="004E615D">
        <w:rPr>
          <w:rFonts w:ascii="Times New Roman" w:hAnsi="Times New Roman" w:cs="Times New Roman"/>
          <w:sz w:val="28"/>
          <w:szCs w:val="28"/>
          <w:lang w:val="en-GB"/>
        </w:rPr>
        <w:t xml:space="preserve"> due to newly discovered circumstances</w:t>
      </w:r>
      <w:r w:rsidRPr="004E615D">
        <w:rPr>
          <w:rFonts w:ascii="Times New Roman" w:hAnsi="Times New Roman" w:cs="Times New Roman"/>
          <w:sz w:val="28"/>
          <w:szCs w:val="28"/>
          <w:lang w:val="en-GB"/>
        </w:rPr>
        <w:t xml:space="preserve"> of court decisions </w:t>
      </w:r>
      <w:r w:rsidR="007D1B2B" w:rsidRPr="004E615D">
        <w:rPr>
          <w:rFonts w:ascii="Times New Roman" w:hAnsi="Times New Roman" w:cs="Times New Roman"/>
          <w:sz w:val="28"/>
          <w:szCs w:val="28"/>
          <w:lang w:val="en-GB"/>
        </w:rPr>
        <w:t>delivered</w:t>
      </w:r>
      <w:r w:rsidRPr="004E615D">
        <w:rPr>
          <w:rFonts w:ascii="Times New Roman" w:hAnsi="Times New Roman" w:cs="Times New Roman"/>
          <w:sz w:val="28"/>
          <w:szCs w:val="28"/>
          <w:lang w:val="en-GB"/>
        </w:rPr>
        <w:t xml:space="preserve"> as a result of the court's failure to take into account evidence of significant importance, since the task of criminal proceedings is not only to ensure that everyone who has committed a criminal offence is brought to justice, but also that no innocent person is subjected to unreasonable procedural coercion, accused or convicted.</w:t>
      </w:r>
    </w:p>
    <w:p w:rsidR="00267822" w:rsidRPr="004E615D" w:rsidRDefault="007D1B2B" w:rsidP="007D1B2B">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The institute of review due to newly discovered circumstances of court decisions that have entered into force as an extraordinary type of review of court decisions does not contradict the provisions of the Constitution.</w:t>
      </w:r>
    </w:p>
    <w:p w:rsidR="002D1ABE" w:rsidRPr="004E615D" w:rsidRDefault="007D1B2B" w:rsidP="007D1B2B">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 xml:space="preserve">Given the role of the investigating judge in exercising judicial review over the implementation of the tasks of criminal proceedings by the pre-trial investigation authorities and the importance of the investigating judge's ruling for the observance of constitutional human rights and freedoms, the Constitutional Court </w:t>
      </w:r>
      <w:r w:rsidR="0014556F">
        <w:rPr>
          <w:rFonts w:ascii="Times New Roman" w:hAnsi="Times New Roman" w:cs="Times New Roman"/>
          <w:sz w:val="28"/>
          <w:szCs w:val="28"/>
          <w:lang w:val="en-GB"/>
        </w:rPr>
        <w:t>of Ukraine p</w:t>
      </w:r>
      <w:r w:rsidRPr="004E615D">
        <w:rPr>
          <w:rFonts w:ascii="Times New Roman" w:hAnsi="Times New Roman" w:cs="Times New Roman"/>
          <w:sz w:val="28"/>
          <w:szCs w:val="28"/>
          <w:lang w:val="en-GB"/>
        </w:rPr>
        <w:t xml:space="preserve">oints out that reviewing the investigating judge's ruling due to newly discovered </w:t>
      </w:r>
      <w:r w:rsidRPr="004E615D">
        <w:rPr>
          <w:rFonts w:ascii="Times New Roman" w:hAnsi="Times New Roman" w:cs="Times New Roman"/>
          <w:sz w:val="28"/>
          <w:szCs w:val="28"/>
          <w:lang w:val="en-GB"/>
        </w:rPr>
        <w:lastRenderedPageBreak/>
        <w:t>circumstances does not contradict the principle of finality of a court decision (</w:t>
      </w:r>
      <w:r w:rsidRPr="004E615D">
        <w:rPr>
          <w:rFonts w:ascii="Times New Roman" w:hAnsi="Times New Roman" w:cs="Times New Roman"/>
          <w:i/>
          <w:sz w:val="28"/>
          <w:szCs w:val="28"/>
          <w:lang w:val="en-GB"/>
        </w:rPr>
        <w:t>res judicata</w:t>
      </w:r>
      <w:r w:rsidRPr="004E615D">
        <w:rPr>
          <w:rFonts w:ascii="Times New Roman" w:hAnsi="Times New Roman" w:cs="Times New Roman"/>
          <w:sz w:val="28"/>
          <w:szCs w:val="28"/>
          <w:lang w:val="en-GB"/>
        </w:rPr>
        <w:t>).</w:t>
      </w:r>
    </w:p>
    <w:p w:rsidR="002D1ABE" w:rsidRPr="004E615D" w:rsidRDefault="002F7532" w:rsidP="002F7532">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The observance of the principle of the finality of a court decision (</w:t>
      </w:r>
      <w:r w:rsidRPr="004E615D">
        <w:rPr>
          <w:rFonts w:ascii="Times New Roman" w:hAnsi="Times New Roman" w:cs="Times New Roman"/>
          <w:i/>
          <w:iCs/>
          <w:sz w:val="28"/>
          <w:szCs w:val="28"/>
          <w:lang w:val="en-GB"/>
        </w:rPr>
        <w:t>res judicata)</w:t>
      </w:r>
      <w:r w:rsidRPr="004E615D">
        <w:rPr>
          <w:rFonts w:ascii="Times New Roman" w:hAnsi="Times New Roman" w:cs="Times New Roman"/>
          <w:sz w:val="28"/>
          <w:szCs w:val="28"/>
          <w:lang w:val="en-GB"/>
        </w:rPr>
        <w:t xml:space="preserve"> regarding rulings of investigating judges in the case of granting the right to their review due to newly discovered circumstances is possible only if there are substantial and convincing prerequisites for such a review and taking into account the need to comply with the requirements for reasonable periods of pre-trial investigation.</w:t>
      </w:r>
    </w:p>
    <w:p w:rsidR="002275CB" w:rsidRPr="004E615D" w:rsidRDefault="002F7532" w:rsidP="002F7532">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If a person tries to exercise the right to review the ruling of the investigating judge due to newly discovered circumstances in order to prevent the timely completion of the pre-trial investigation or for another purpose that is not consistent with the essence of reviewing court decisions due to newly discovered circumstances as an extraordinary type of review of court decisions, there are grounds for the conclusion that the right to such review should not be ensured by constitutional guarantees.</w:t>
      </w:r>
      <w:r w:rsidR="002275CB" w:rsidRPr="004E615D">
        <w:rPr>
          <w:rFonts w:ascii="Times New Roman" w:hAnsi="Times New Roman" w:cs="Times New Roman"/>
          <w:sz w:val="28"/>
          <w:szCs w:val="28"/>
          <w:lang w:val="en-GB"/>
        </w:rPr>
        <w:t xml:space="preserve"> </w:t>
      </w:r>
    </w:p>
    <w:p w:rsidR="00A35F8B" w:rsidRPr="004E615D" w:rsidRDefault="002F7532" w:rsidP="00502440">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 xml:space="preserve">The Court holds that the </w:t>
      </w:r>
      <w:r w:rsidR="000C1BB9" w:rsidRPr="004E615D">
        <w:rPr>
          <w:rFonts w:ascii="Times New Roman" w:hAnsi="Times New Roman" w:cs="Times New Roman"/>
          <w:sz w:val="28"/>
          <w:szCs w:val="28"/>
          <w:lang w:val="en-GB"/>
        </w:rPr>
        <w:t xml:space="preserve">impugned provision of Article 459 of the Code </w:t>
      </w:r>
      <w:r w:rsidR="00D807B1" w:rsidRPr="004E615D">
        <w:rPr>
          <w:rFonts w:ascii="Times New Roman" w:hAnsi="Times New Roman" w:cs="Times New Roman"/>
          <w:sz w:val="28"/>
          <w:szCs w:val="28"/>
          <w:lang w:val="en-GB"/>
        </w:rPr>
        <w:t>does not contradict Articles </w:t>
      </w:r>
      <w:r w:rsidRPr="004E615D">
        <w:rPr>
          <w:rFonts w:ascii="Times New Roman" w:hAnsi="Times New Roman" w:cs="Times New Roman"/>
          <w:sz w:val="28"/>
          <w:szCs w:val="28"/>
          <w:lang w:val="en-GB"/>
        </w:rPr>
        <w:t>8.1, 55.1, 55.2, 129.2 of the Constitution.</w:t>
      </w:r>
    </w:p>
    <w:p w:rsidR="00A35F8B" w:rsidRPr="004E615D" w:rsidRDefault="00502440" w:rsidP="00502440">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Th</w:t>
      </w:r>
      <w:r w:rsidR="00D807B1" w:rsidRPr="004E615D">
        <w:rPr>
          <w:rFonts w:ascii="Times New Roman" w:hAnsi="Times New Roman" w:cs="Times New Roman"/>
          <w:sz w:val="28"/>
          <w:szCs w:val="28"/>
          <w:lang w:val="en-GB"/>
        </w:rPr>
        <w:t>e impugned provision of Article </w:t>
      </w:r>
      <w:r w:rsidRPr="004E615D">
        <w:rPr>
          <w:rFonts w:ascii="Times New Roman" w:hAnsi="Times New Roman" w:cs="Times New Roman"/>
          <w:sz w:val="28"/>
          <w:szCs w:val="28"/>
          <w:lang w:val="en-GB"/>
        </w:rPr>
        <w:t xml:space="preserve">459 of the Code does not contain a prohibition on the review due to newly discovered circumstances of any type of court decisions that has entered into force. </w:t>
      </w:r>
    </w:p>
    <w:p w:rsidR="00A35F8B" w:rsidRDefault="00502440" w:rsidP="00C43576">
      <w:pPr>
        <w:pStyle w:val="HTML"/>
        <w:ind w:firstLine="851"/>
        <w:jc w:val="both"/>
        <w:rPr>
          <w:rFonts w:ascii="Times New Roman" w:hAnsi="Times New Roman" w:cs="Times New Roman"/>
          <w:sz w:val="28"/>
          <w:szCs w:val="28"/>
          <w:lang w:val="en-GB"/>
        </w:rPr>
      </w:pPr>
      <w:r w:rsidRPr="004E615D">
        <w:rPr>
          <w:rFonts w:ascii="Times New Roman" w:hAnsi="Times New Roman" w:cs="Times New Roman"/>
          <w:sz w:val="28"/>
          <w:szCs w:val="28"/>
          <w:lang w:val="en-GB"/>
        </w:rPr>
        <w:t xml:space="preserve">As a result, </w:t>
      </w:r>
      <w:r w:rsidR="00497572">
        <w:rPr>
          <w:rFonts w:ascii="Times New Roman" w:hAnsi="Times New Roman" w:cs="Times New Roman"/>
          <w:sz w:val="28"/>
          <w:szCs w:val="28"/>
          <w:lang w:val="en-GB"/>
        </w:rPr>
        <w:t xml:space="preserve">the </w:t>
      </w:r>
      <w:r w:rsidR="000C1BB9" w:rsidRPr="004E615D">
        <w:rPr>
          <w:rFonts w:ascii="Times New Roman" w:hAnsi="Times New Roman" w:cs="Times New Roman"/>
          <w:sz w:val="28"/>
          <w:szCs w:val="28"/>
          <w:lang w:val="en-GB"/>
        </w:rPr>
        <w:t xml:space="preserve">impugned provision of Article 459 of the Code </w:t>
      </w:r>
      <w:r w:rsidRPr="004E615D">
        <w:rPr>
          <w:rFonts w:ascii="Times New Roman" w:hAnsi="Times New Roman" w:cs="Times New Roman"/>
          <w:sz w:val="28"/>
          <w:szCs w:val="28"/>
          <w:lang w:val="en-GB"/>
        </w:rPr>
        <w:t xml:space="preserve">does not contain signs of discrimination against participants in criminal proceedings, since it does not directly establish different regulation of procedural relations for reviewing due to newly discovered circumstances of court decisions that have entered into force, in particular, rulings of the investigating judge. Therefore, according to the </w:t>
      </w:r>
      <w:r w:rsidR="000C1BB9" w:rsidRPr="004E615D">
        <w:rPr>
          <w:rFonts w:ascii="Times New Roman" w:hAnsi="Times New Roman" w:cs="Times New Roman"/>
          <w:sz w:val="28"/>
          <w:szCs w:val="28"/>
          <w:lang w:val="en-GB"/>
        </w:rPr>
        <w:t>impugned provision of Article 459 of the Code</w:t>
      </w:r>
      <w:r w:rsidRPr="004E615D">
        <w:rPr>
          <w:rFonts w:ascii="Times New Roman" w:hAnsi="Times New Roman" w:cs="Times New Roman"/>
          <w:sz w:val="28"/>
          <w:szCs w:val="28"/>
          <w:lang w:val="en-GB"/>
        </w:rPr>
        <w:t>, participants in criminal proceedings have the same procedural rights to review</w:t>
      </w:r>
      <w:r w:rsidR="00C43576" w:rsidRPr="004E615D">
        <w:rPr>
          <w:rFonts w:ascii="Times New Roman" w:hAnsi="Times New Roman" w:cs="Times New Roman"/>
          <w:sz w:val="28"/>
          <w:szCs w:val="28"/>
          <w:lang w:val="en-GB"/>
        </w:rPr>
        <w:t xml:space="preserve"> due to newly discovered circumstances of</w:t>
      </w:r>
      <w:r w:rsidRPr="004E615D">
        <w:rPr>
          <w:rFonts w:ascii="Times New Roman" w:hAnsi="Times New Roman" w:cs="Times New Roman"/>
          <w:sz w:val="28"/>
          <w:szCs w:val="28"/>
          <w:lang w:val="en-GB"/>
        </w:rPr>
        <w:t xml:space="preserve"> court decisions that have entered into force, in particular, the decision of the investigating judge at the pre-trial investigat</w:t>
      </w:r>
      <w:r w:rsidR="00C43576" w:rsidRPr="004E615D">
        <w:rPr>
          <w:rFonts w:ascii="Times New Roman" w:hAnsi="Times New Roman" w:cs="Times New Roman"/>
          <w:sz w:val="28"/>
          <w:szCs w:val="28"/>
          <w:lang w:val="en-GB"/>
        </w:rPr>
        <w:t>ion stage and the court ruling during judicial proceedings</w:t>
      </w:r>
      <w:r w:rsidRPr="004E615D">
        <w:rPr>
          <w:rFonts w:ascii="Times New Roman" w:hAnsi="Times New Roman" w:cs="Times New Roman"/>
          <w:sz w:val="28"/>
          <w:szCs w:val="28"/>
          <w:lang w:val="en-GB"/>
        </w:rPr>
        <w:t xml:space="preserve"> or other stages of criminal proceedings.</w:t>
      </w:r>
    </w:p>
    <w:p w:rsidR="001D2A70" w:rsidRPr="004E615D" w:rsidRDefault="001D2A70" w:rsidP="001D2A70">
      <w:pPr>
        <w:ind w:firstLine="851"/>
        <w:jc w:val="both"/>
        <w:rPr>
          <w:sz w:val="28"/>
          <w:szCs w:val="28"/>
          <w:lang w:val="en-GB"/>
        </w:rPr>
      </w:pPr>
      <w:r>
        <w:rPr>
          <w:sz w:val="28"/>
          <w:szCs w:val="28"/>
          <w:lang w:val="en-GB"/>
        </w:rPr>
        <w:t>The Constitutional Court of Ukraine held t</w:t>
      </w:r>
      <w:r w:rsidRPr="004E615D">
        <w:rPr>
          <w:sz w:val="28"/>
          <w:szCs w:val="28"/>
          <w:lang w:val="en-GB"/>
        </w:rPr>
        <w:t>he individual provision of Article 459.1</w:t>
      </w:r>
      <w:r w:rsidRPr="004E615D">
        <w:rPr>
          <w:lang w:val="en-GB"/>
        </w:rPr>
        <w:t xml:space="preserve"> </w:t>
      </w:r>
      <w:r w:rsidRPr="004E615D">
        <w:rPr>
          <w:sz w:val="28"/>
          <w:szCs w:val="28"/>
          <w:lang w:val="en-GB"/>
        </w:rPr>
        <w:t xml:space="preserve">of the Criminal Procedure Code </w:t>
      </w:r>
      <w:r w:rsidR="006B6F37">
        <w:rPr>
          <w:sz w:val="28"/>
          <w:szCs w:val="28"/>
          <w:lang w:val="en-GB"/>
        </w:rPr>
        <w:t xml:space="preserve">of Ukraine </w:t>
      </w:r>
      <w:r w:rsidRPr="004E615D">
        <w:rPr>
          <w:sz w:val="28"/>
          <w:szCs w:val="28"/>
          <w:lang w:val="en-GB"/>
        </w:rPr>
        <w:t xml:space="preserve">in accordance with which “court decisions that have entered into force may be reviewed due to newly discovered circumstances” as conforming with the Constitution </w:t>
      </w:r>
      <w:r w:rsidR="006B6F37">
        <w:rPr>
          <w:sz w:val="28"/>
          <w:szCs w:val="28"/>
          <w:lang w:val="en-GB"/>
        </w:rPr>
        <w:t xml:space="preserve">of Ukraine </w:t>
      </w:r>
      <w:r w:rsidRPr="004E615D">
        <w:rPr>
          <w:sz w:val="28"/>
          <w:szCs w:val="28"/>
          <w:lang w:val="en-GB"/>
        </w:rPr>
        <w:t>(is constitutional).</w:t>
      </w:r>
    </w:p>
    <w:p w:rsidR="001D2A70" w:rsidRPr="004E615D" w:rsidRDefault="001D2A70" w:rsidP="00C43576">
      <w:pPr>
        <w:pStyle w:val="HTML"/>
        <w:ind w:firstLine="851"/>
        <w:jc w:val="both"/>
        <w:rPr>
          <w:rFonts w:ascii="Times New Roman" w:hAnsi="Times New Roman" w:cs="Times New Roman"/>
          <w:sz w:val="28"/>
          <w:szCs w:val="28"/>
          <w:lang w:val="en-GB"/>
        </w:rPr>
      </w:pPr>
    </w:p>
    <w:p w:rsidR="009D1164" w:rsidRDefault="009D1164" w:rsidP="009D1164">
      <w:pPr>
        <w:pStyle w:val="HTML"/>
        <w:ind w:firstLine="851"/>
        <w:jc w:val="both"/>
        <w:rPr>
          <w:rFonts w:ascii="Times New Roman" w:hAnsi="Times New Roman" w:cs="Times New Roman"/>
          <w:b/>
          <w:bCs/>
          <w:sz w:val="28"/>
          <w:szCs w:val="28"/>
          <w:u w:val="single"/>
          <w:lang w:val="en-GB"/>
        </w:rPr>
      </w:pPr>
      <w:r>
        <w:rPr>
          <w:rFonts w:ascii="Times New Roman" w:hAnsi="Times New Roman" w:cs="Times New Roman"/>
          <w:b/>
          <w:bCs/>
          <w:sz w:val="28"/>
          <w:szCs w:val="28"/>
          <w:u w:val="single"/>
          <w:lang w:val="en-GB"/>
        </w:rPr>
        <w:t>Supplementary information</w:t>
      </w:r>
      <w:r w:rsidRPr="004E615D">
        <w:rPr>
          <w:rFonts w:ascii="Times New Roman" w:hAnsi="Times New Roman" w:cs="Times New Roman"/>
          <w:b/>
          <w:bCs/>
          <w:sz w:val="28"/>
          <w:szCs w:val="28"/>
          <w:u w:val="single"/>
          <w:lang w:val="en-GB"/>
        </w:rPr>
        <w:t>:</w:t>
      </w:r>
    </w:p>
    <w:p w:rsidR="009D1164" w:rsidRDefault="009D1164" w:rsidP="009D1164">
      <w:pPr>
        <w:pStyle w:val="HTML"/>
        <w:ind w:firstLine="851"/>
        <w:jc w:val="both"/>
        <w:rPr>
          <w:rFonts w:ascii="Times New Roman" w:hAnsi="Times New Roman" w:cs="Times New Roman"/>
          <w:b/>
          <w:bCs/>
          <w:sz w:val="28"/>
          <w:szCs w:val="28"/>
          <w:u w:val="single"/>
          <w:lang w:val="en-GB"/>
        </w:rPr>
      </w:pPr>
    </w:p>
    <w:p w:rsidR="009D1164" w:rsidRPr="004E615D" w:rsidRDefault="009D1164" w:rsidP="009D1164">
      <w:pPr>
        <w:pStyle w:val="HTML"/>
        <w:ind w:right="-92" w:firstLine="851"/>
        <w:jc w:val="both"/>
        <w:rPr>
          <w:rFonts w:asciiTheme="majorBidi" w:hAnsiTheme="majorBidi" w:cstheme="majorBidi"/>
          <w:sz w:val="28"/>
          <w:szCs w:val="28"/>
          <w:lang w:val="en-GB"/>
        </w:rPr>
      </w:pPr>
      <w:r w:rsidRPr="004E615D">
        <w:rPr>
          <w:rFonts w:asciiTheme="majorBidi" w:hAnsiTheme="majorBidi" w:cstheme="majorBidi"/>
          <w:sz w:val="28"/>
          <w:szCs w:val="28"/>
          <w:lang w:val="en-GB"/>
        </w:rPr>
        <w:t>Universal Declaration of Human Rights, adopted by the General Assembly of the United Nations, 10.12.1948,</w:t>
      </w:r>
    </w:p>
    <w:p w:rsidR="009D1164" w:rsidRPr="004E615D" w:rsidRDefault="009D1164" w:rsidP="009D1164">
      <w:pPr>
        <w:pStyle w:val="HTML"/>
        <w:ind w:right="-92" w:firstLine="851"/>
        <w:jc w:val="both"/>
        <w:rPr>
          <w:rFonts w:asciiTheme="majorBidi" w:hAnsiTheme="majorBidi" w:cstheme="majorBidi"/>
          <w:sz w:val="28"/>
          <w:szCs w:val="28"/>
          <w:lang w:val="en-GB"/>
        </w:rPr>
      </w:pPr>
      <w:r w:rsidRPr="004E615D">
        <w:rPr>
          <w:rFonts w:asciiTheme="majorBidi" w:hAnsiTheme="majorBidi" w:cstheme="majorBidi"/>
          <w:sz w:val="28"/>
          <w:szCs w:val="28"/>
          <w:lang w:val="en-GB"/>
        </w:rPr>
        <w:t>The Convention for the Protection of Human Rights and Fundamental Freedoms of 1950,</w:t>
      </w:r>
    </w:p>
    <w:p w:rsidR="009D1164" w:rsidRPr="004E615D" w:rsidRDefault="005232F2" w:rsidP="005232F2">
      <w:pPr>
        <w:pStyle w:val="HTML"/>
        <w:ind w:right="-92" w:firstLine="851"/>
        <w:jc w:val="both"/>
        <w:rPr>
          <w:rFonts w:asciiTheme="majorBidi" w:hAnsiTheme="majorBidi" w:cstheme="majorBidi"/>
          <w:sz w:val="28"/>
          <w:szCs w:val="28"/>
          <w:lang w:val="en-GB"/>
        </w:rPr>
      </w:pPr>
      <w:r w:rsidRPr="00A2169D">
        <w:rPr>
          <w:rFonts w:asciiTheme="majorBidi" w:hAnsiTheme="majorBidi" w:cstheme="majorBidi"/>
          <w:sz w:val="28"/>
          <w:szCs w:val="28"/>
          <w:lang w:val="en-GB"/>
        </w:rPr>
        <w:t>Study no. 711/2013</w:t>
      </w:r>
      <w:r>
        <w:rPr>
          <w:rFonts w:asciiTheme="majorBidi" w:hAnsiTheme="majorBidi" w:cstheme="majorBidi"/>
          <w:sz w:val="28"/>
          <w:szCs w:val="28"/>
          <w:lang w:val="en-GB"/>
        </w:rPr>
        <w:t>, CDL-AD(2016)007</w:t>
      </w:r>
      <w:r w:rsidRPr="00A2169D">
        <w:rPr>
          <w:rFonts w:asciiTheme="majorBidi" w:hAnsiTheme="majorBidi" w:cstheme="majorBidi"/>
          <w:sz w:val="28"/>
          <w:szCs w:val="28"/>
          <w:lang w:val="en-GB"/>
        </w:rPr>
        <w:t xml:space="preserve">, Rule of Law Checklist, adopted by the Venice Commission </w:t>
      </w:r>
      <w:r w:rsidRPr="00DC22E8">
        <w:rPr>
          <w:rFonts w:asciiTheme="majorBidi" w:hAnsiTheme="majorBidi" w:cstheme="majorBidi"/>
          <w:sz w:val="28"/>
          <w:szCs w:val="28"/>
          <w:lang w:val="en-GB"/>
        </w:rPr>
        <w:t>at its 106</w:t>
      </w:r>
      <w:r w:rsidRPr="00DC22E8">
        <w:rPr>
          <w:rFonts w:asciiTheme="majorBidi" w:hAnsiTheme="majorBidi" w:cstheme="majorBidi"/>
          <w:sz w:val="28"/>
          <w:szCs w:val="28"/>
          <w:vertAlign w:val="superscript"/>
          <w:lang w:val="en-US"/>
        </w:rPr>
        <w:t>th</w:t>
      </w:r>
      <w:r w:rsidRPr="00DC22E8">
        <w:rPr>
          <w:rFonts w:asciiTheme="majorBidi" w:hAnsiTheme="majorBidi" w:cstheme="majorBidi"/>
          <w:sz w:val="28"/>
          <w:szCs w:val="28"/>
          <w:lang w:val="en-US"/>
        </w:rPr>
        <w:t xml:space="preserve"> </w:t>
      </w:r>
      <w:r w:rsidRPr="00DC22E8">
        <w:rPr>
          <w:rFonts w:asciiTheme="majorBidi" w:hAnsiTheme="majorBidi" w:cstheme="majorBidi"/>
          <w:sz w:val="28"/>
          <w:szCs w:val="28"/>
          <w:lang w:val="en-GB"/>
        </w:rPr>
        <w:t>Plenary Session (Venice, 11-12.03.2016),</w:t>
      </w:r>
    </w:p>
    <w:p w:rsidR="009D1164" w:rsidRPr="004E615D" w:rsidRDefault="0042711D" w:rsidP="009D1164">
      <w:pPr>
        <w:pStyle w:val="HTML"/>
        <w:ind w:right="-92" w:firstLine="851"/>
        <w:jc w:val="both"/>
        <w:rPr>
          <w:rFonts w:ascii="Times New Roman" w:hAnsi="Times New Roman"/>
          <w:sz w:val="28"/>
          <w:szCs w:val="28"/>
          <w:lang w:val="en-GB"/>
        </w:rPr>
      </w:pPr>
      <w:r>
        <w:rPr>
          <w:rFonts w:ascii="Times New Roman" w:hAnsi="Times New Roman"/>
          <w:sz w:val="28"/>
          <w:szCs w:val="28"/>
          <w:lang w:val="en-GB"/>
        </w:rPr>
        <w:lastRenderedPageBreak/>
        <w:t>Study no. 512/</w:t>
      </w:r>
      <w:r w:rsidR="00B50BAA" w:rsidRPr="00B50BAA">
        <w:rPr>
          <w:rFonts w:ascii="Times New Roman" w:hAnsi="Times New Roman"/>
          <w:sz w:val="28"/>
          <w:szCs w:val="28"/>
          <w:lang w:val="en-GB"/>
        </w:rPr>
        <w:t>2009</w:t>
      </w:r>
      <w:r w:rsidR="00B50BAA">
        <w:rPr>
          <w:rFonts w:ascii="Times New Roman" w:hAnsi="Times New Roman"/>
          <w:sz w:val="28"/>
          <w:szCs w:val="28"/>
          <w:lang w:val="en-GB"/>
        </w:rPr>
        <w:t xml:space="preserve">, </w:t>
      </w:r>
      <w:r w:rsidR="00B50BAA" w:rsidRPr="004E615D">
        <w:rPr>
          <w:rFonts w:ascii="Times New Roman" w:hAnsi="Times New Roman"/>
          <w:sz w:val="28"/>
          <w:szCs w:val="28"/>
          <w:lang w:val="en-GB"/>
        </w:rPr>
        <w:t>CDL-AD(2011)003rev</w:t>
      </w:r>
      <w:r w:rsidR="00B50BAA">
        <w:rPr>
          <w:rFonts w:ascii="Times New Roman" w:hAnsi="Times New Roman"/>
          <w:sz w:val="28"/>
          <w:szCs w:val="28"/>
          <w:lang w:val="en-GB"/>
        </w:rPr>
        <w:t>,</w:t>
      </w:r>
      <w:r w:rsidR="00B50BAA" w:rsidRPr="004E615D">
        <w:rPr>
          <w:rFonts w:ascii="Times New Roman" w:hAnsi="Times New Roman"/>
          <w:sz w:val="28"/>
          <w:szCs w:val="28"/>
          <w:lang w:val="en-GB"/>
        </w:rPr>
        <w:t xml:space="preserve"> </w:t>
      </w:r>
      <w:r w:rsidR="00B50BAA">
        <w:rPr>
          <w:rFonts w:ascii="Times New Roman" w:hAnsi="Times New Roman"/>
          <w:sz w:val="28"/>
          <w:szCs w:val="28"/>
          <w:lang w:val="en-GB"/>
        </w:rPr>
        <w:t>Report on the Rule of L</w:t>
      </w:r>
      <w:r w:rsidR="009D1164" w:rsidRPr="004E615D">
        <w:rPr>
          <w:rFonts w:ascii="Times New Roman" w:hAnsi="Times New Roman"/>
          <w:sz w:val="28"/>
          <w:szCs w:val="28"/>
          <w:lang w:val="en-GB"/>
        </w:rPr>
        <w:t>aw</w:t>
      </w:r>
      <w:r w:rsidR="00B50BAA">
        <w:rPr>
          <w:rFonts w:ascii="Times New Roman" w:hAnsi="Times New Roman"/>
          <w:sz w:val="28"/>
          <w:szCs w:val="28"/>
          <w:lang w:val="en-GB"/>
        </w:rPr>
        <w:t>,</w:t>
      </w:r>
      <w:r w:rsidR="009D1164" w:rsidRPr="004E615D">
        <w:rPr>
          <w:rFonts w:ascii="Times New Roman" w:hAnsi="Times New Roman"/>
          <w:sz w:val="28"/>
          <w:szCs w:val="28"/>
          <w:lang w:val="en-GB"/>
        </w:rPr>
        <w:t xml:space="preserve"> </w:t>
      </w:r>
      <w:r w:rsidR="00B50BAA" w:rsidRPr="004E615D">
        <w:rPr>
          <w:rFonts w:ascii="Times New Roman" w:hAnsi="Times New Roman"/>
          <w:sz w:val="28"/>
          <w:szCs w:val="28"/>
          <w:lang w:val="en-GB"/>
        </w:rPr>
        <w:t>adopted</w:t>
      </w:r>
      <w:r w:rsidR="00B50BAA">
        <w:rPr>
          <w:rFonts w:ascii="Times New Roman" w:hAnsi="Times New Roman"/>
          <w:sz w:val="28"/>
          <w:szCs w:val="28"/>
          <w:lang w:val="en-GB"/>
        </w:rPr>
        <w:t xml:space="preserve"> </w:t>
      </w:r>
      <w:r w:rsidR="00B50BAA" w:rsidRPr="00A2169D">
        <w:rPr>
          <w:rFonts w:asciiTheme="majorBidi" w:hAnsiTheme="majorBidi" w:cstheme="majorBidi"/>
          <w:sz w:val="28"/>
          <w:szCs w:val="28"/>
          <w:lang w:val="en-GB"/>
        </w:rPr>
        <w:t>by the Venice Commission</w:t>
      </w:r>
      <w:r w:rsidR="00B50BAA">
        <w:rPr>
          <w:rFonts w:asciiTheme="majorBidi" w:hAnsiTheme="majorBidi" w:cstheme="majorBidi"/>
          <w:sz w:val="28"/>
          <w:szCs w:val="28"/>
          <w:lang w:val="en-GB"/>
        </w:rPr>
        <w:t xml:space="preserve"> </w:t>
      </w:r>
      <w:r w:rsidR="009D1164" w:rsidRPr="004E615D">
        <w:rPr>
          <w:rFonts w:ascii="Times New Roman" w:hAnsi="Times New Roman"/>
          <w:sz w:val="28"/>
          <w:szCs w:val="28"/>
          <w:lang w:val="en-GB"/>
        </w:rPr>
        <w:t>at its 86</w:t>
      </w:r>
      <w:r w:rsidR="009D1164" w:rsidRPr="00B50BAA">
        <w:rPr>
          <w:rFonts w:ascii="Times New Roman" w:hAnsi="Times New Roman"/>
          <w:sz w:val="28"/>
          <w:szCs w:val="28"/>
          <w:vertAlign w:val="superscript"/>
          <w:lang w:val="en-GB"/>
        </w:rPr>
        <w:t>th</w:t>
      </w:r>
      <w:r w:rsidR="00B50BAA">
        <w:rPr>
          <w:rFonts w:ascii="Times New Roman" w:hAnsi="Times New Roman"/>
          <w:sz w:val="28"/>
          <w:szCs w:val="28"/>
          <w:lang w:val="en-GB"/>
        </w:rPr>
        <w:t xml:space="preserve"> P</w:t>
      </w:r>
      <w:r w:rsidR="009D1164" w:rsidRPr="004E615D">
        <w:rPr>
          <w:rFonts w:ascii="Times New Roman" w:hAnsi="Times New Roman"/>
          <w:sz w:val="28"/>
          <w:szCs w:val="28"/>
          <w:lang w:val="en-GB"/>
        </w:rPr>
        <w:t xml:space="preserve">lenary </w:t>
      </w:r>
      <w:r w:rsidR="00B50BAA">
        <w:rPr>
          <w:rFonts w:ascii="Times New Roman" w:hAnsi="Times New Roman"/>
          <w:sz w:val="28"/>
          <w:szCs w:val="28"/>
          <w:lang w:val="en-GB"/>
        </w:rPr>
        <w:t>Session (Venice, March  25- </w:t>
      </w:r>
      <w:r w:rsidR="009D1164" w:rsidRPr="004E615D">
        <w:rPr>
          <w:rFonts w:ascii="Times New Roman" w:hAnsi="Times New Roman"/>
          <w:sz w:val="28"/>
          <w:szCs w:val="28"/>
          <w:lang w:val="en-GB"/>
        </w:rPr>
        <w:t>26,</w:t>
      </w:r>
      <w:r w:rsidR="009D1164" w:rsidRPr="004E615D">
        <w:rPr>
          <w:lang w:val="en-GB"/>
        </w:rPr>
        <w:t> </w:t>
      </w:r>
      <w:r w:rsidR="00B50BAA">
        <w:rPr>
          <w:rFonts w:ascii="Times New Roman" w:hAnsi="Times New Roman"/>
          <w:sz w:val="28"/>
          <w:szCs w:val="28"/>
          <w:lang w:val="en-GB"/>
        </w:rPr>
        <w:t>2011).</w:t>
      </w:r>
    </w:p>
    <w:p w:rsidR="009D1164" w:rsidRPr="004E615D" w:rsidRDefault="009D1164" w:rsidP="009D1164">
      <w:pPr>
        <w:pStyle w:val="HTML"/>
        <w:ind w:firstLine="851"/>
        <w:jc w:val="both"/>
        <w:rPr>
          <w:rFonts w:ascii="Times New Roman" w:hAnsi="Times New Roman" w:cs="Times New Roman"/>
          <w:b/>
          <w:bCs/>
          <w:sz w:val="28"/>
          <w:szCs w:val="28"/>
          <w:u w:val="single"/>
          <w:lang w:val="en-GB"/>
        </w:rPr>
      </w:pPr>
    </w:p>
    <w:p w:rsidR="00267822" w:rsidRPr="004E615D" w:rsidRDefault="00267822" w:rsidP="00CE7204">
      <w:pPr>
        <w:pStyle w:val="HTML"/>
        <w:ind w:firstLine="851"/>
        <w:jc w:val="both"/>
        <w:rPr>
          <w:rFonts w:ascii="Times New Roman" w:hAnsi="Times New Roman" w:cs="Times New Roman"/>
          <w:sz w:val="28"/>
          <w:szCs w:val="28"/>
          <w:lang w:val="en-GB"/>
        </w:rPr>
      </w:pPr>
    </w:p>
    <w:p w:rsidR="00FA7FDF" w:rsidRDefault="00394220" w:rsidP="00192668">
      <w:pPr>
        <w:pStyle w:val="HTML"/>
        <w:ind w:firstLine="851"/>
        <w:jc w:val="both"/>
        <w:rPr>
          <w:rFonts w:ascii="Times New Roman" w:hAnsi="Times New Roman" w:cs="Times New Roman"/>
          <w:b/>
          <w:bCs/>
          <w:sz w:val="28"/>
          <w:szCs w:val="28"/>
          <w:u w:val="single"/>
          <w:lang w:val="en-GB"/>
        </w:rPr>
      </w:pPr>
      <w:r w:rsidRPr="004E615D">
        <w:rPr>
          <w:rFonts w:ascii="Times New Roman" w:hAnsi="Times New Roman" w:cs="Times New Roman"/>
          <w:b/>
          <w:bCs/>
          <w:sz w:val="28"/>
          <w:szCs w:val="28"/>
          <w:u w:val="single"/>
          <w:lang w:val="en-GB"/>
        </w:rPr>
        <w:t>Cross-references:</w:t>
      </w:r>
    </w:p>
    <w:p w:rsidR="009D1164" w:rsidRPr="004E615D" w:rsidRDefault="009D1164" w:rsidP="00192668">
      <w:pPr>
        <w:pStyle w:val="HTML"/>
        <w:ind w:firstLine="851"/>
        <w:jc w:val="both"/>
        <w:rPr>
          <w:rFonts w:ascii="Times New Roman" w:hAnsi="Times New Roman" w:cs="Times New Roman"/>
          <w:b/>
          <w:bCs/>
          <w:sz w:val="28"/>
          <w:szCs w:val="28"/>
          <w:u w:val="single"/>
          <w:lang w:val="en-GB"/>
        </w:rPr>
      </w:pPr>
    </w:p>
    <w:p w:rsidR="00394220" w:rsidRDefault="00394220" w:rsidP="00394220">
      <w:pPr>
        <w:pStyle w:val="HTML"/>
        <w:ind w:right="-92" w:firstLine="851"/>
        <w:jc w:val="both"/>
        <w:rPr>
          <w:rFonts w:asciiTheme="majorBidi" w:hAnsiTheme="majorBidi" w:cstheme="majorBidi"/>
          <w:sz w:val="28"/>
          <w:szCs w:val="28"/>
          <w:lang w:val="en-GB"/>
        </w:rPr>
      </w:pPr>
      <w:r w:rsidRPr="004E615D">
        <w:rPr>
          <w:rFonts w:asciiTheme="majorBidi" w:hAnsiTheme="majorBidi" w:cstheme="majorBidi"/>
          <w:sz w:val="28"/>
          <w:szCs w:val="28"/>
          <w:lang w:val="en-GB"/>
        </w:rPr>
        <w:t>Constitutional Court of Ukraine:</w:t>
      </w:r>
    </w:p>
    <w:p w:rsidR="009D1164" w:rsidRPr="004E615D" w:rsidRDefault="009D1164" w:rsidP="009D1164">
      <w:pPr>
        <w:pStyle w:val="HTML"/>
        <w:ind w:right="-92"/>
        <w:jc w:val="both"/>
        <w:rPr>
          <w:rFonts w:asciiTheme="majorBidi" w:hAnsiTheme="majorBidi" w:cstheme="majorBidi"/>
          <w:sz w:val="28"/>
          <w:szCs w:val="28"/>
          <w:lang w:val="en-GB"/>
        </w:rPr>
      </w:pPr>
    </w:p>
    <w:p w:rsidR="00394220" w:rsidRPr="001D2A70" w:rsidRDefault="009D1164" w:rsidP="009D1164">
      <w:pPr>
        <w:pStyle w:val="HTML"/>
        <w:numPr>
          <w:ilvl w:val="0"/>
          <w:numId w:val="2"/>
        </w:numPr>
        <w:ind w:right="-92"/>
        <w:jc w:val="both"/>
        <w:rPr>
          <w:rFonts w:asciiTheme="majorBidi" w:hAnsiTheme="majorBidi" w:cstheme="majorBidi"/>
          <w:sz w:val="28"/>
          <w:szCs w:val="28"/>
          <w:lang w:val="es-ES"/>
        </w:rPr>
      </w:pPr>
      <w:r>
        <w:rPr>
          <w:rFonts w:asciiTheme="majorBidi" w:hAnsiTheme="majorBidi" w:cstheme="majorBidi"/>
          <w:sz w:val="28"/>
          <w:szCs w:val="28"/>
          <w:lang w:val="es-ES"/>
        </w:rPr>
        <w:t>no. 3-rp/2003, 30.01.2003;</w:t>
      </w:r>
    </w:p>
    <w:p w:rsidR="00394220" w:rsidRPr="001D2A70" w:rsidRDefault="009D1164" w:rsidP="009D1164">
      <w:pPr>
        <w:pStyle w:val="HTML"/>
        <w:numPr>
          <w:ilvl w:val="0"/>
          <w:numId w:val="2"/>
        </w:numPr>
        <w:ind w:right="-92"/>
        <w:jc w:val="both"/>
        <w:rPr>
          <w:rFonts w:asciiTheme="majorBidi" w:hAnsiTheme="majorBidi" w:cstheme="majorBidi"/>
          <w:sz w:val="28"/>
          <w:szCs w:val="28"/>
          <w:lang w:val="es-ES"/>
        </w:rPr>
      </w:pPr>
      <w:r>
        <w:rPr>
          <w:rFonts w:asciiTheme="majorBidi" w:hAnsiTheme="majorBidi" w:cstheme="majorBidi"/>
          <w:sz w:val="28"/>
          <w:szCs w:val="28"/>
          <w:lang w:val="es-ES"/>
        </w:rPr>
        <w:t>no. 9-rp/2012, 12.04.2012;</w:t>
      </w:r>
    </w:p>
    <w:p w:rsidR="00394220" w:rsidRPr="001D2A70" w:rsidRDefault="009D1164" w:rsidP="009D1164">
      <w:pPr>
        <w:pStyle w:val="HTML"/>
        <w:numPr>
          <w:ilvl w:val="0"/>
          <w:numId w:val="2"/>
        </w:numPr>
        <w:ind w:right="-92"/>
        <w:jc w:val="both"/>
        <w:rPr>
          <w:rFonts w:asciiTheme="majorBidi" w:hAnsiTheme="majorBidi" w:cstheme="majorBidi"/>
          <w:sz w:val="28"/>
          <w:szCs w:val="28"/>
          <w:lang w:val="es-ES"/>
        </w:rPr>
      </w:pPr>
      <w:r>
        <w:rPr>
          <w:rFonts w:asciiTheme="majorBidi" w:hAnsiTheme="majorBidi" w:cstheme="majorBidi"/>
          <w:sz w:val="28"/>
          <w:szCs w:val="28"/>
          <w:lang w:val="es-ES"/>
        </w:rPr>
        <w:t>no. 2-r/2019, 04.06.2019;</w:t>
      </w:r>
    </w:p>
    <w:p w:rsidR="00394220" w:rsidRPr="001D2A70" w:rsidRDefault="009D1164" w:rsidP="009D1164">
      <w:pPr>
        <w:pStyle w:val="HTML"/>
        <w:numPr>
          <w:ilvl w:val="0"/>
          <w:numId w:val="2"/>
        </w:numPr>
        <w:ind w:right="-92"/>
        <w:jc w:val="both"/>
        <w:rPr>
          <w:rFonts w:asciiTheme="majorBidi" w:hAnsiTheme="majorBidi" w:cstheme="majorBidi"/>
          <w:sz w:val="28"/>
          <w:szCs w:val="28"/>
          <w:lang w:val="es-ES"/>
        </w:rPr>
      </w:pPr>
      <w:r>
        <w:rPr>
          <w:rFonts w:asciiTheme="majorBidi" w:hAnsiTheme="majorBidi" w:cstheme="majorBidi"/>
          <w:sz w:val="28"/>
          <w:szCs w:val="28"/>
          <w:lang w:val="es-ES"/>
        </w:rPr>
        <w:t>no. 5-r/2020, 17.03.2020;</w:t>
      </w:r>
    </w:p>
    <w:p w:rsidR="00394220" w:rsidRPr="001D2A70" w:rsidRDefault="009D1164" w:rsidP="009D1164">
      <w:pPr>
        <w:pStyle w:val="HTML"/>
        <w:numPr>
          <w:ilvl w:val="0"/>
          <w:numId w:val="2"/>
        </w:numPr>
        <w:ind w:right="-92"/>
        <w:jc w:val="both"/>
        <w:rPr>
          <w:rFonts w:asciiTheme="majorBidi" w:hAnsiTheme="majorBidi" w:cstheme="majorBidi"/>
          <w:sz w:val="28"/>
          <w:szCs w:val="28"/>
          <w:lang w:val="es-ES"/>
        </w:rPr>
      </w:pPr>
      <w:r>
        <w:rPr>
          <w:rFonts w:asciiTheme="majorBidi" w:hAnsiTheme="majorBidi" w:cstheme="majorBidi"/>
          <w:sz w:val="28"/>
          <w:szCs w:val="28"/>
          <w:lang w:val="es-ES"/>
        </w:rPr>
        <w:t>no. 4-r(II)/2020, 17.06.2020;</w:t>
      </w:r>
    </w:p>
    <w:p w:rsidR="00394220" w:rsidRPr="001D2A70" w:rsidRDefault="009D1164" w:rsidP="009D1164">
      <w:pPr>
        <w:pStyle w:val="HTML"/>
        <w:numPr>
          <w:ilvl w:val="0"/>
          <w:numId w:val="2"/>
        </w:numPr>
        <w:ind w:right="-92"/>
        <w:jc w:val="both"/>
        <w:rPr>
          <w:rFonts w:asciiTheme="majorBidi" w:hAnsiTheme="majorBidi" w:cstheme="majorBidi"/>
          <w:sz w:val="28"/>
          <w:szCs w:val="28"/>
          <w:lang w:val="es-ES"/>
        </w:rPr>
      </w:pPr>
      <w:r>
        <w:rPr>
          <w:rFonts w:asciiTheme="majorBidi" w:hAnsiTheme="majorBidi" w:cstheme="majorBidi"/>
          <w:sz w:val="28"/>
          <w:szCs w:val="28"/>
          <w:lang w:val="es-ES"/>
        </w:rPr>
        <w:t>no. 2-r(II)/2022, 06.04.2022;</w:t>
      </w:r>
    </w:p>
    <w:p w:rsidR="00394220" w:rsidRPr="001D2A70" w:rsidRDefault="00394220" w:rsidP="009D1164">
      <w:pPr>
        <w:pStyle w:val="HTML"/>
        <w:numPr>
          <w:ilvl w:val="0"/>
          <w:numId w:val="2"/>
        </w:numPr>
        <w:ind w:right="-92"/>
        <w:jc w:val="both"/>
        <w:rPr>
          <w:rFonts w:asciiTheme="majorBidi" w:hAnsiTheme="majorBidi" w:cstheme="majorBidi"/>
          <w:sz w:val="28"/>
          <w:szCs w:val="28"/>
          <w:lang w:val="es-ES"/>
        </w:rPr>
      </w:pPr>
      <w:r w:rsidRPr="001D2A70">
        <w:rPr>
          <w:rFonts w:asciiTheme="majorBidi" w:hAnsiTheme="majorBidi" w:cstheme="majorBidi"/>
          <w:sz w:val="28"/>
          <w:szCs w:val="28"/>
          <w:lang w:val="es-ES"/>
        </w:rPr>
        <w:t>no. 2</w:t>
      </w:r>
      <w:r w:rsidR="00F27813" w:rsidRPr="001D2A70">
        <w:rPr>
          <w:rFonts w:asciiTheme="majorBidi" w:hAnsiTheme="majorBidi" w:cstheme="majorBidi"/>
          <w:sz w:val="28"/>
          <w:szCs w:val="28"/>
          <w:lang w:val="es-ES"/>
        </w:rPr>
        <w:t>-r(II)/2023, 01.03.2023</w:t>
      </w:r>
      <w:r w:rsidR="009D1164">
        <w:rPr>
          <w:rFonts w:asciiTheme="majorBidi" w:hAnsiTheme="majorBidi" w:cstheme="majorBidi"/>
          <w:sz w:val="28"/>
          <w:szCs w:val="28"/>
          <w:lang w:val="es-ES"/>
        </w:rPr>
        <w:t>;</w:t>
      </w:r>
    </w:p>
    <w:p w:rsidR="00394220" w:rsidRPr="001D2A70" w:rsidRDefault="00394220" w:rsidP="009D1164">
      <w:pPr>
        <w:pStyle w:val="HTML"/>
        <w:numPr>
          <w:ilvl w:val="0"/>
          <w:numId w:val="2"/>
        </w:numPr>
        <w:ind w:right="-92"/>
        <w:jc w:val="both"/>
        <w:rPr>
          <w:rFonts w:asciiTheme="majorBidi" w:hAnsiTheme="majorBidi" w:cstheme="majorBidi"/>
          <w:sz w:val="28"/>
          <w:szCs w:val="28"/>
          <w:lang w:val="es-ES"/>
        </w:rPr>
      </w:pPr>
      <w:r w:rsidRPr="001D2A70">
        <w:rPr>
          <w:rFonts w:asciiTheme="majorBidi" w:hAnsiTheme="majorBidi" w:cstheme="majorBidi"/>
          <w:sz w:val="28"/>
          <w:szCs w:val="28"/>
          <w:lang w:val="es-ES"/>
        </w:rPr>
        <w:t xml:space="preserve">no. </w:t>
      </w:r>
      <w:r w:rsidR="00F27813" w:rsidRPr="001D2A70">
        <w:rPr>
          <w:rFonts w:asciiTheme="majorBidi" w:hAnsiTheme="majorBidi" w:cstheme="majorBidi"/>
          <w:sz w:val="28"/>
          <w:szCs w:val="28"/>
          <w:lang w:val="es-ES"/>
        </w:rPr>
        <w:t>10</w:t>
      </w:r>
      <w:r w:rsidRPr="001D2A70">
        <w:rPr>
          <w:rFonts w:asciiTheme="majorBidi" w:hAnsiTheme="majorBidi" w:cstheme="majorBidi"/>
          <w:sz w:val="28"/>
          <w:szCs w:val="28"/>
          <w:lang w:val="es-ES"/>
        </w:rPr>
        <w:t>-r(</w:t>
      </w:r>
      <w:r w:rsidR="00F27813" w:rsidRPr="001D2A70">
        <w:rPr>
          <w:rFonts w:asciiTheme="majorBidi" w:hAnsiTheme="majorBidi" w:cstheme="majorBidi"/>
          <w:sz w:val="28"/>
          <w:szCs w:val="28"/>
          <w:lang w:val="es-ES"/>
        </w:rPr>
        <w:t>II)/2023, 22.11.2023</w:t>
      </w:r>
      <w:r w:rsidR="009D1164">
        <w:rPr>
          <w:rFonts w:asciiTheme="majorBidi" w:hAnsiTheme="majorBidi" w:cstheme="majorBidi"/>
          <w:sz w:val="28"/>
          <w:szCs w:val="28"/>
          <w:lang w:val="es-ES"/>
        </w:rPr>
        <w:t>;</w:t>
      </w:r>
    </w:p>
    <w:p w:rsidR="00C540EC" w:rsidRPr="004E615D" w:rsidRDefault="00394220" w:rsidP="009D1164">
      <w:pPr>
        <w:pStyle w:val="HTML"/>
        <w:numPr>
          <w:ilvl w:val="0"/>
          <w:numId w:val="2"/>
        </w:numPr>
        <w:ind w:right="-92"/>
        <w:jc w:val="both"/>
        <w:rPr>
          <w:rFonts w:ascii="Times New Roman" w:hAnsi="Times New Roman" w:cs="Times New Roman"/>
          <w:color w:val="000000" w:themeColor="text1"/>
          <w:sz w:val="28"/>
          <w:szCs w:val="28"/>
          <w:lang w:val="en-GB"/>
        </w:rPr>
      </w:pPr>
      <w:r w:rsidRPr="004E615D">
        <w:rPr>
          <w:rFonts w:asciiTheme="majorBidi" w:hAnsiTheme="majorBidi" w:cstheme="majorBidi"/>
          <w:sz w:val="28"/>
          <w:szCs w:val="28"/>
          <w:lang w:val="en-GB"/>
        </w:rPr>
        <w:t>no. 1-r</w:t>
      </w:r>
      <w:r w:rsidR="00F27813" w:rsidRPr="004E615D">
        <w:rPr>
          <w:rFonts w:asciiTheme="majorBidi" w:hAnsiTheme="majorBidi" w:cstheme="majorBidi"/>
          <w:sz w:val="28"/>
          <w:szCs w:val="28"/>
          <w:lang w:val="en-GB"/>
        </w:rPr>
        <w:t>(II)/2024, 14.02.2024.</w:t>
      </w:r>
    </w:p>
    <w:p w:rsidR="00F27813" w:rsidRPr="004E615D" w:rsidRDefault="00F27813" w:rsidP="00F27813">
      <w:pPr>
        <w:pStyle w:val="HTML"/>
        <w:ind w:right="-92" w:firstLine="851"/>
        <w:jc w:val="both"/>
        <w:rPr>
          <w:rFonts w:ascii="Times New Roman" w:hAnsi="Times New Roman" w:cs="Times New Roman"/>
          <w:color w:val="000000" w:themeColor="text1"/>
          <w:sz w:val="28"/>
          <w:szCs w:val="28"/>
          <w:lang w:val="en-GB"/>
        </w:rPr>
      </w:pPr>
    </w:p>
    <w:p w:rsidR="009D1164" w:rsidRDefault="009D1164" w:rsidP="009F5DE6">
      <w:pPr>
        <w:pStyle w:val="HTML"/>
        <w:ind w:right="-92" w:firstLine="851"/>
        <w:jc w:val="both"/>
        <w:rPr>
          <w:rFonts w:asciiTheme="majorBidi" w:hAnsiTheme="majorBidi" w:cstheme="majorBidi"/>
          <w:sz w:val="28"/>
          <w:szCs w:val="28"/>
          <w:lang w:val="en-GB"/>
        </w:rPr>
      </w:pPr>
      <w:r>
        <w:rPr>
          <w:rFonts w:asciiTheme="majorBidi" w:hAnsiTheme="majorBidi" w:cstheme="majorBidi"/>
          <w:sz w:val="28"/>
          <w:szCs w:val="28"/>
          <w:lang w:val="en-GB"/>
        </w:rPr>
        <w:t>European Court of Human Rights:</w:t>
      </w:r>
    </w:p>
    <w:p w:rsidR="009D1164" w:rsidRDefault="009D1164" w:rsidP="009F5DE6">
      <w:pPr>
        <w:pStyle w:val="HTML"/>
        <w:ind w:right="-92" w:firstLine="851"/>
        <w:jc w:val="both"/>
        <w:rPr>
          <w:rFonts w:asciiTheme="majorBidi" w:hAnsiTheme="majorBidi" w:cstheme="majorBidi"/>
          <w:sz w:val="28"/>
          <w:szCs w:val="28"/>
          <w:lang w:val="en-GB"/>
        </w:rPr>
      </w:pPr>
    </w:p>
    <w:p w:rsidR="009D1164" w:rsidRDefault="009D1164" w:rsidP="009D1164">
      <w:pPr>
        <w:pStyle w:val="HTML"/>
        <w:numPr>
          <w:ilvl w:val="0"/>
          <w:numId w:val="1"/>
        </w:numPr>
        <w:ind w:right="-92"/>
        <w:jc w:val="both"/>
        <w:rPr>
          <w:rFonts w:asciiTheme="majorBidi" w:hAnsiTheme="majorBidi" w:cstheme="majorBidi"/>
          <w:sz w:val="28"/>
          <w:szCs w:val="28"/>
          <w:lang w:val="en-GB"/>
        </w:rPr>
      </w:pPr>
      <w:r w:rsidRPr="009D1164">
        <w:rPr>
          <w:rFonts w:asciiTheme="majorBidi" w:hAnsiTheme="majorBidi" w:cstheme="majorBidi"/>
          <w:i/>
          <w:sz w:val="28"/>
          <w:szCs w:val="28"/>
          <w:lang w:val="en-GB"/>
        </w:rPr>
        <w:t>Ashingdane v. the United Kingdom</w:t>
      </w:r>
      <w:r>
        <w:rPr>
          <w:rFonts w:asciiTheme="majorBidi" w:hAnsiTheme="majorBidi" w:cstheme="majorBidi"/>
          <w:sz w:val="28"/>
          <w:szCs w:val="28"/>
          <w:lang w:val="en-GB"/>
        </w:rPr>
        <w:t xml:space="preserve">, no. </w:t>
      </w:r>
      <w:r w:rsidRPr="004E615D">
        <w:rPr>
          <w:rFonts w:asciiTheme="majorBidi" w:hAnsiTheme="majorBidi" w:cstheme="majorBidi"/>
          <w:sz w:val="28"/>
          <w:szCs w:val="28"/>
          <w:lang w:val="en-GB"/>
        </w:rPr>
        <w:t>8225/78</w:t>
      </w:r>
      <w:r>
        <w:rPr>
          <w:rFonts w:asciiTheme="majorBidi" w:hAnsiTheme="majorBidi" w:cstheme="majorBidi"/>
          <w:sz w:val="28"/>
          <w:szCs w:val="28"/>
          <w:lang w:val="en-GB"/>
        </w:rPr>
        <w:t>, 28.05.1985;</w:t>
      </w:r>
    </w:p>
    <w:p w:rsidR="009D1164" w:rsidRPr="003A4E34" w:rsidRDefault="00E32D4D" w:rsidP="009D1164">
      <w:pPr>
        <w:pStyle w:val="HTML"/>
        <w:numPr>
          <w:ilvl w:val="0"/>
          <w:numId w:val="1"/>
        </w:numPr>
        <w:ind w:right="-92"/>
        <w:jc w:val="both"/>
        <w:rPr>
          <w:rFonts w:asciiTheme="majorBidi" w:hAnsiTheme="majorBidi" w:cstheme="majorBidi"/>
          <w:sz w:val="28"/>
          <w:szCs w:val="28"/>
          <w:lang w:val="es-ES"/>
        </w:rPr>
      </w:pPr>
      <w:r w:rsidRPr="003A4E34">
        <w:rPr>
          <w:rFonts w:asciiTheme="majorBidi" w:hAnsiTheme="majorBidi" w:cstheme="majorBidi"/>
          <w:i/>
          <w:sz w:val="28"/>
          <w:szCs w:val="28"/>
          <w:lang w:val="es-ES"/>
        </w:rPr>
        <w:t>Brumarescu v. Romania</w:t>
      </w:r>
      <w:r w:rsidRPr="003A4E34">
        <w:rPr>
          <w:rFonts w:asciiTheme="majorBidi" w:hAnsiTheme="majorBidi" w:cstheme="majorBidi"/>
          <w:sz w:val="28"/>
          <w:szCs w:val="28"/>
          <w:lang w:val="es-ES"/>
        </w:rPr>
        <w:t xml:space="preserve"> [GC], </w:t>
      </w:r>
      <w:r w:rsidR="000268E2" w:rsidRPr="003A4E34">
        <w:rPr>
          <w:rFonts w:asciiTheme="majorBidi" w:hAnsiTheme="majorBidi" w:cstheme="majorBidi"/>
          <w:sz w:val="28"/>
          <w:szCs w:val="28"/>
          <w:lang w:val="es-ES"/>
        </w:rPr>
        <w:t xml:space="preserve">no. </w:t>
      </w:r>
      <w:r w:rsidRPr="003A4E34">
        <w:rPr>
          <w:rFonts w:asciiTheme="majorBidi" w:hAnsiTheme="majorBidi" w:cstheme="majorBidi"/>
          <w:sz w:val="28"/>
          <w:szCs w:val="28"/>
          <w:lang w:val="es-ES"/>
        </w:rPr>
        <w:t>28342/95,</w:t>
      </w:r>
      <w:r w:rsidR="009D1164" w:rsidRPr="003A4E34">
        <w:rPr>
          <w:rFonts w:asciiTheme="majorBidi" w:hAnsiTheme="majorBidi" w:cstheme="majorBidi"/>
          <w:sz w:val="28"/>
          <w:szCs w:val="28"/>
          <w:lang w:val="es-ES"/>
        </w:rPr>
        <w:t xml:space="preserve"> 28.10.1999;</w:t>
      </w:r>
    </w:p>
    <w:p w:rsidR="009D1164" w:rsidRPr="003A4E34" w:rsidRDefault="00E32D4D" w:rsidP="009D1164">
      <w:pPr>
        <w:pStyle w:val="HTML"/>
        <w:numPr>
          <w:ilvl w:val="0"/>
          <w:numId w:val="1"/>
        </w:numPr>
        <w:ind w:right="-92"/>
        <w:jc w:val="both"/>
        <w:rPr>
          <w:rFonts w:asciiTheme="majorBidi" w:hAnsiTheme="majorBidi" w:cstheme="majorBidi"/>
          <w:sz w:val="28"/>
          <w:szCs w:val="28"/>
          <w:lang w:val="en-GB"/>
        </w:rPr>
      </w:pPr>
      <w:r w:rsidRPr="003A4E34">
        <w:rPr>
          <w:rFonts w:asciiTheme="majorBidi" w:hAnsiTheme="majorBidi" w:cstheme="majorBidi"/>
          <w:i/>
          <w:sz w:val="28"/>
          <w:szCs w:val="28"/>
          <w:lang w:val="en-GB"/>
        </w:rPr>
        <w:t>Khristov v. Ukraine</w:t>
      </w:r>
      <w:r w:rsidR="009D1164" w:rsidRPr="003A4E34">
        <w:rPr>
          <w:rFonts w:asciiTheme="majorBidi" w:hAnsiTheme="majorBidi" w:cstheme="majorBidi"/>
          <w:sz w:val="28"/>
          <w:szCs w:val="28"/>
          <w:lang w:val="en-GB"/>
        </w:rPr>
        <w:t>,</w:t>
      </w:r>
      <w:r w:rsidRPr="003A4E34">
        <w:rPr>
          <w:rFonts w:asciiTheme="majorBidi" w:hAnsiTheme="majorBidi" w:cstheme="majorBidi"/>
          <w:sz w:val="28"/>
          <w:szCs w:val="28"/>
          <w:lang w:val="en-GB"/>
        </w:rPr>
        <w:t xml:space="preserve"> </w:t>
      </w:r>
      <w:r w:rsidR="009D1164" w:rsidRPr="003A4E34">
        <w:rPr>
          <w:rFonts w:asciiTheme="majorBidi" w:hAnsiTheme="majorBidi" w:cstheme="majorBidi"/>
          <w:sz w:val="28"/>
          <w:szCs w:val="28"/>
          <w:lang w:val="en-GB"/>
        </w:rPr>
        <w:t>no. 24465/04, 19.02.</w:t>
      </w:r>
      <w:r w:rsidR="000268E2" w:rsidRPr="003A4E34">
        <w:rPr>
          <w:rFonts w:asciiTheme="majorBidi" w:hAnsiTheme="majorBidi" w:cstheme="majorBidi"/>
          <w:sz w:val="28"/>
          <w:szCs w:val="28"/>
          <w:lang w:val="en-GB"/>
        </w:rPr>
        <w:t>2009</w:t>
      </w:r>
      <w:r w:rsidR="009D1164" w:rsidRPr="003A4E34">
        <w:rPr>
          <w:rFonts w:asciiTheme="majorBidi" w:hAnsiTheme="majorBidi" w:cstheme="majorBidi"/>
          <w:sz w:val="28"/>
          <w:szCs w:val="28"/>
          <w:lang w:val="en-GB"/>
        </w:rPr>
        <w:t>;</w:t>
      </w:r>
    </w:p>
    <w:p w:rsidR="009D1164" w:rsidRPr="003A4E34" w:rsidRDefault="009F5DE6" w:rsidP="009D1164">
      <w:pPr>
        <w:pStyle w:val="HTML"/>
        <w:numPr>
          <w:ilvl w:val="0"/>
          <w:numId w:val="1"/>
        </w:numPr>
        <w:ind w:right="-92"/>
        <w:jc w:val="both"/>
        <w:rPr>
          <w:rFonts w:asciiTheme="majorBidi" w:hAnsiTheme="majorBidi" w:cstheme="majorBidi"/>
          <w:sz w:val="28"/>
          <w:szCs w:val="28"/>
          <w:lang w:val="en-GB"/>
        </w:rPr>
      </w:pPr>
      <w:r w:rsidRPr="003A4E34">
        <w:rPr>
          <w:rFonts w:asciiTheme="majorBidi" w:hAnsiTheme="majorBidi" w:cstheme="majorBidi"/>
          <w:i/>
          <w:sz w:val="28"/>
          <w:szCs w:val="28"/>
          <w:lang w:val="en-GB"/>
        </w:rPr>
        <w:t>Ponomaryov v. Ukraine</w:t>
      </w:r>
      <w:r w:rsidR="009D1164" w:rsidRPr="003A4E34">
        <w:rPr>
          <w:rFonts w:asciiTheme="majorBidi" w:hAnsiTheme="majorBidi" w:cstheme="majorBidi"/>
          <w:sz w:val="28"/>
          <w:szCs w:val="28"/>
          <w:lang w:val="en-GB"/>
        </w:rPr>
        <w:t>, no. 3236/03, 0</w:t>
      </w:r>
      <w:r w:rsidR="000268E2" w:rsidRPr="003A4E34">
        <w:rPr>
          <w:rFonts w:asciiTheme="majorBidi" w:hAnsiTheme="majorBidi" w:cstheme="majorBidi"/>
          <w:sz w:val="28"/>
          <w:szCs w:val="28"/>
          <w:lang w:val="en-GB"/>
        </w:rPr>
        <w:t>3</w:t>
      </w:r>
      <w:r w:rsidR="009D1164" w:rsidRPr="003A4E34">
        <w:rPr>
          <w:rFonts w:asciiTheme="majorBidi" w:hAnsiTheme="majorBidi" w:cstheme="majorBidi"/>
          <w:sz w:val="28"/>
          <w:szCs w:val="28"/>
          <w:lang w:val="en-GB"/>
        </w:rPr>
        <w:t>.04.</w:t>
      </w:r>
      <w:r w:rsidR="000268E2" w:rsidRPr="003A4E34">
        <w:rPr>
          <w:rFonts w:asciiTheme="majorBidi" w:hAnsiTheme="majorBidi" w:cstheme="majorBidi"/>
          <w:sz w:val="28"/>
          <w:szCs w:val="28"/>
          <w:lang w:val="en-GB"/>
        </w:rPr>
        <w:t>2008</w:t>
      </w:r>
      <w:r w:rsidR="009D1164" w:rsidRPr="003A4E34">
        <w:rPr>
          <w:rFonts w:asciiTheme="majorBidi" w:hAnsiTheme="majorBidi" w:cstheme="majorBidi"/>
          <w:sz w:val="28"/>
          <w:szCs w:val="28"/>
          <w:lang w:val="en-GB"/>
        </w:rPr>
        <w:t>;</w:t>
      </w:r>
    </w:p>
    <w:p w:rsidR="009D1164" w:rsidRPr="003A4E34" w:rsidRDefault="009F5DE6" w:rsidP="009D1164">
      <w:pPr>
        <w:pStyle w:val="HTML"/>
        <w:numPr>
          <w:ilvl w:val="0"/>
          <w:numId w:val="1"/>
        </w:numPr>
        <w:ind w:right="-92"/>
        <w:jc w:val="both"/>
        <w:rPr>
          <w:rFonts w:asciiTheme="majorBidi" w:hAnsiTheme="majorBidi" w:cstheme="majorBidi"/>
          <w:sz w:val="28"/>
          <w:szCs w:val="28"/>
          <w:lang w:val="en-GB"/>
        </w:rPr>
      </w:pPr>
      <w:r w:rsidRPr="003A4E34">
        <w:rPr>
          <w:rFonts w:asciiTheme="majorBidi" w:hAnsiTheme="majorBidi" w:cstheme="majorBidi"/>
          <w:i/>
          <w:sz w:val="28"/>
          <w:szCs w:val="28"/>
          <w:lang w:val="en-GB"/>
        </w:rPr>
        <w:t>Mitsopoulos v. Ukraine</w:t>
      </w:r>
      <w:r w:rsidR="009D1164" w:rsidRPr="003A4E34">
        <w:rPr>
          <w:rFonts w:asciiTheme="majorBidi" w:hAnsiTheme="majorBidi" w:cstheme="majorBidi"/>
          <w:sz w:val="28"/>
          <w:szCs w:val="28"/>
          <w:lang w:val="en-GB"/>
        </w:rPr>
        <w:t xml:space="preserve">, </w:t>
      </w:r>
      <w:r w:rsidR="000268E2" w:rsidRPr="003A4E34">
        <w:rPr>
          <w:rFonts w:asciiTheme="majorBidi" w:hAnsiTheme="majorBidi" w:cstheme="majorBidi"/>
          <w:sz w:val="28"/>
          <w:szCs w:val="28"/>
          <w:lang w:val="en-GB"/>
        </w:rPr>
        <w:t xml:space="preserve">no. </w:t>
      </w:r>
      <w:r w:rsidR="009D1164" w:rsidRPr="003A4E34">
        <w:rPr>
          <w:rFonts w:asciiTheme="majorBidi" w:hAnsiTheme="majorBidi" w:cstheme="majorBidi"/>
          <w:sz w:val="28"/>
          <w:szCs w:val="28"/>
          <w:lang w:val="en-GB"/>
        </w:rPr>
        <w:t>62006/09</w:t>
      </w:r>
      <w:r w:rsidRPr="003A4E34">
        <w:rPr>
          <w:rFonts w:asciiTheme="majorBidi" w:hAnsiTheme="majorBidi" w:cstheme="majorBidi"/>
          <w:sz w:val="28"/>
          <w:szCs w:val="28"/>
          <w:lang w:val="en-GB"/>
        </w:rPr>
        <w:t>,</w:t>
      </w:r>
      <w:r w:rsidR="009D1164" w:rsidRPr="003A4E34">
        <w:rPr>
          <w:rFonts w:asciiTheme="majorBidi" w:hAnsiTheme="majorBidi" w:cstheme="majorBidi"/>
          <w:sz w:val="28"/>
          <w:szCs w:val="28"/>
          <w:lang w:val="en-GB"/>
        </w:rPr>
        <w:t xml:space="preserve"> 09.12.2021;</w:t>
      </w:r>
    </w:p>
    <w:p w:rsidR="00A4559E" w:rsidRPr="003A4E34" w:rsidRDefault="00C16443" w:rsidP="00A4559E">
      <w:pPr>
        <w:pStyle w:val="HTML"/>
        <w:numPr>
          <w:ilvl w:val="0"/>
          <w:numId w:val="1"/>
        </w:numPr>
        <w:ind w:right="-92"/>
        <w:jc w:val="both"/>
        <w:rPr>
          <w:rFonts w:asciiTheme="majorBidi" w:hAnsiTheme="majorBidi" w:cstheme="majorBidi"/>
          <w:sz w:val="28"/>
          <w:szCs w:val="28"/>
          <w:lang w:val="en-GB"/>
        </w:rPr>
      </w:pPr>
      <w:r w:rsidRPr="003A4E34">
        <w:rPr>
          <w:rFonts w:asciiTheme="majorBidi" w:hAnsiTheme="majorBidi" w:cstheme="majorBidi"/>
          <w:i/>
          <w:sz w:val="28"/>
          <w:szCs w:val="28"/>
          <w:lang w:val="en-GB"/>
        </w:rPr>
        <w:t>Guincho v. Portugal</w:t>
      </w:r>
      <w:r w:rsidRPr="003A4E34">
        <w:rPr>
          <w:rFonts w:asciiTheme="majorBidi" w:hAnsiTheme="majorBidi" w:cstheme="majorBidi"/>
          <w:sz w:val="28"/>
          <w:szCs w:val="28"/>
          <w:lang w:val="en-GB"/>
        </w:rPr>
        <w:t xml:space="preserve"> </w:t>
      </w:r>
      <w:r w:rsidR="000268E2" w:rsidRPr="003A4E34">
        <w:rPr>
          <w:rFonts w:asciiTheme="majorBidi" w:hAnsiTheme="majorBidi" w:cstheme="majorBidi"/>
          <w:sz w:val="28"/>
          <w:szCs w:val="28"/>
          <w:lang w:val="en-GB"/>
        </w:rPr>
        <w:t>no.</w:t>
      </w:r>
      <w:r w:rsidR="000268E2" w:rsidRPr="003A4E34">
        <w:rPr>
          <w:lang w:val="en-GB"/>
        </w:rPr>
        <w:t xml:space="preserve"> </w:t>
      </w:r>
      <w:r w:rsidR="000268E2" w:rsidRPr="003A4E34">
        <w:rPr>
          <w:rFonts w:asciiTheme="majorBidi" w:hAnsiTheme="majorBidi" w:cstheme="majorBidi"/>
          <w:sz w:val="28"/>
          <w:szCs w:val="28"/>
          <w:lang w:val="en-GB"/>
        </w:rPr>
        <w:t>8990/80</w:t>
      </w:r>
      <w:r w:rsidR="009C1165" w:rsidRPr="003A4E34">
        <w:rPr>
          <w:rFonts w:asciiTheme="majorBidi" w:hAnsiTheme="majorBidi" w:cstheme="majorBidi"/>
          <w:sz w:val="28"/>
          <w:szCs w:val="28"/>
          <w:lang w:val="en-GB"/>
        </w:rPr>
        <w:t>,</w:t>
      </w:r>
      <w:r w:rsidR="009D1164" w:rsidRPr="003A4E34">
        <w:rPr>
          <w:rFonts w:asciiTheme="majorBidi" w:hAnsiTheme="majorBidi" w:cstheme="majorBidi"/>
          <w:sz w:val="28"/>
          <w:szCs w:val="28"/>
          <w:lang w:val="en-GB"/>
        </w:rPr>
        <w:t xml:space="preserve"> 10.07.1984;</w:t>
      </w:r>
    </w:p>
    <w:p w:rsidR="00A4559E" w:rsidRPr="003A4E34" w:rsidRDefault="007E464A" w:rsidP="00A4559E">
      <w:pPr>
        <w:pStyle w:val="HTML"/>
        <w:numPr>
          <w:ilvl w:val="0"/>
          <w:numId w:val="1"/>
        </w:numPr>
        <w:ind w:right="-92"/>
        <w:jc w:val="both"/>
        <w:rPr>
          <w:rFonts w:asciiTheme="majorBidi" w:hAnsiTheme="majorBidi" w:cstheme="majorBidi"/>
          <w:sz w:val="28"/>
          <w:szCs w:val="28"/>
          <w:lang w:val="es-ES"/>
        </w:rPr>
      </w:pPr>
      <w:r w:rsidRPr="003A4E34">
        <w:rPr>
          <w:rFonts w:asciiTheme="majorBidi" w:hAnsiTheme="majorBidi" w:cstheme="majorBidi"/>
          <w:i/>
          <w:sz w:val="28"/>
          <w:szCs w:val="28"/>
          <w:lang w:val="es-ES"/>
        </w:rPr>
        <w:t>Popov v. Moldova</w:t>
      </w:r>
      <w:r w:rsidRPr="003A4E34">
        <w:rPr>
          <w:rFonts w:asciiTheme="majorBidi" w:hAnsiTheme="majorBidi" w:cstheme="majorBidi"/>
          <w:sz w:val="28"/>
          <w:szCs w:val="28"/>
          <w:lang w:val="es-ES"/>
        </w:rPr>
        <w:t xml:space="preserve"> </w:t>
      </w:r>
      <w:r w:rsidR="00030650" w:rsidRPr="003A4E34">
        <w:rPr>
          <w:rFonts w:asciiTheme="majorBidi" w:hAnsiTheme="majorBidi" w:cstheme="majorBidi"/>
          <w:sz w:val="28"/>
          <w:szCs w:val="28"/>
          <w:lang w:val="es-ES"/>
        </w:rPr>
        <w:t>(No.</w:t>
      </w:r>
      <w:r w:rsidRPr="003A4E34">
        <w:rPr>
          <w:rFonts w:asciiTheme="majorBidi" w:hAnsiTheme="majorBidi" w:cstheme="majorBidi"/>
          <w:sz w:val="28"/>
          <w:szCs w:val="28"/>
          <w:lang w:val="es-ES"/>
        </w:rPr>
        <w:t xml:space="preserve"> 2)</w:t>
      </w:r>
      <w:r w:rsidR="00A4559E" w:rsidRPr="003A4E34">
        <w:rPr>
          <w:rFonts w:asciiTheme="majorBidi" w:hAnsiTheme="majorBidi" w:cstheme="majorBidi"/>
          <w:sz w:val="28"/>
          <w:szCs w:val="28"/>
          <w:lang w:val="es-ES"/>
        </w:rPr>
        <w:t xml:space="preserve">, </w:t>
      </w:r>
      <w:r w:rsidR="000268E2" w:rsidRPr="003A4E34">
        <w:rPr>
          <w:rFonts w:asciiTheme="majorBidi" w:hAnsiTheme="majorBidi" w:cstheme="majorBidi"/>
          <w:sz w:val="28"/>
          <w:szCs w:val="28"/>
          <w:lang w:val="es-ES"/>
        </w:rPr>
        <w:t xml:space="preserve">no. </w:t>
      </w:r>
      <w:r w:rsidR="00A4559E" w:rsidRPr="003A4E34">
        <w:rPr>
          <w:rFonts w:asciiTheme="majorBidi" w:hAnsiTheme="majorBidi" w:cstheme="majorBidi"/>
          <w:sz w:val="28"/>
          <w:szCs w:val="28"/>
          <w:lang w:val="es-ES"/>
        </w:rPr>
        <w:t>19960/04</w:t>
      </w:r>
      <w:r w:rsidR="009C1165" w:rsidRPr="003A4E34">
        <w:rPr>
          <w:rFonts w:asciiTheme="majorBidi" w:hAnsiTheme="majorBidi" w:cstheme="majorBidi"/>
          <w:sz w:val="28"/>
          <w:szCs w:val="28"/>
          <w:lang w:val="es-ES"/>
        </w:rPr>
        <w:t>,</w:t>
      </w:r>
      <w:r w:rsidR="00A4559E" w:rsidRPr="003A4E34">
        <w:rPr>
          <w:rFonts w:asciiTheme="majorBidi" w:hAnsiTheme="majorBidi" w:cstheme="majorBidi"/>
          <w:sz w:val="28"/>
          <w:szCs w:val="28"/>
          <w:lang w:val="es-ES"/>
        </w:rPr>
        <w:t xml:space="preserve"> 06.12.2005;</w:t>
      </w:r>
    </w:p>
    <w:p w:rsidR="009C1165" w:rsidRPr="003A4E34" w:rsidRDefault="00CF7974" w:rsidP="00A4559E">
      <w:pPr>
        <w:pStyle w:val="HTML"/>
        <w:numPr>
          <w:ilvl w:val="0"/>
          <w:numId w:val="1"/>
        </w:numPr>
        <w:ind w:right="-92"/>
        <w:jc w:val="both"/>
        <w:rPr>
          <w:rFonts w:asciiTheme="majorBidi" w:hAnsiTheme="majorBidi" w:cstheme="majorBidi"/>
          <w:sz w:val="28"/>
          <w:szCs w:val="28"/>
          <w:lang w:val="en-GB"/>
        </w:rPr>
      </w:pPr>
      <w:r w:rsidRPr="003A4E34">
        <w:rPr>
          <w:rFonts w:asciiTheme="majorBidi" w:hAnsiTheme="majorBidi" w:cstheme="majorBidi"/>
          <w:i/>
          <w:sz w:val="28"/>
          <w:szCs w:val="28"/>
          <w:lang w:val="en-GB"/>
        </w:rPr>
        <w:t>Sejdić and Finci v. Bosnia and Her</w:t>
      </w:r>
      <w:r w:rsidR="000268E2" w:rsidRPr="003A4E34">
        <w:rPr>
          <w:rFonts w:asciiTheme="majorBidi" w:hAnsiTheme="majorBidi" w:cstheme="majorBidi"/>
          <w:i/>
          <w:sz w:val="28"/>
          <w:szCs w:val="28"/>
          <w:lang w:val="en-GB"/>
        </w:rPr>
        <w:t>zegovina</w:t>
      </w:r>
      <w:r w:rsidR="000268E2" w:rsidRPr="003A4E34">
        <w:rPr>
          <w:rFonts w:asciiTheme="majorBidi" w:hAnsiTheme="majorBidi" w:cstheme="majorBidi"/>
          <w:sz w:val="28"/>
          <w:szCs w:val="28"/>
          <w:lang w:val="en-GB"/>
        </w:rPr>
        <w:t xml:space="preserve"> </w:t>
      </w:r>
      <w:r w:rsidR="00A4559E" w:rsidRPr="003A4E34">
        <w:rPr>
          <w:rFonts w:asciiTheme="majorBidi" w:hAnsiTheme="majorBidi" w:cstheme="majorBidi"/>
          <w:sz w:val="28"/>
          <w:szCs w:val="28"/>
          <w:lang w:val="en-GB"/>
        </w:rPr>
        <w:t>no</w:t>
      </w:r>
      <w:r w:rsidR="00030650" w:rsidRPr="003A4E34">
        <w:rPr>
          <w:rFonts w:asciiTheme="majorBidi" w:hAnsiTheme="majorBidi" w:cstheme="majorBidi"/>
          <w:sz w:val="28"/>
          <w:szCs w:val="28"/>
          <w:lang w:val="en-GB"/>
        </w:rPr>
        <w:t>s. 27996/06</w:t>
      </w:r>
      <w:bookmarkStart w:id="0" w:name="_GoBack"/>
      <w:bookmarkEnd w:id="0"/>
      <w:r w:rsidR="00030650" w:rsidRPr="003A4E34">
        <w:rPr>
          <w:rFonts w:asciiTheme="majorBidi" w:hAnsiTheme="majorBidi" w:cstheme="majorBidi"/>
          <w:sz w:val="28"/>
          <w:szCs w:val="28"/>
          <w:lang w:val="en-GB"/>
        </w:rPr>
        <w:t xml:space="preserve"> and</w:t>
      </w:r>
      <w:r w:rsidR="00A4559E" w:rsidRPr="003A4E34">
        <w:rPr>
          <w:rFonts w:asciiTheme="majorBidi" w:hAnsiTheme="majorBidi" w:cstheme="majorBidi"/>
          <w:sz w:val="28"/>
          <w:szCs w:val="28"/>
          <w:lang w:val="en-GB"/>
        </w:rPr>
        <w:t xml:space="preserve"> 34836/06, 22.12.2009;</w:t>
      </w:r>
    </w:p>
    <w:p w:rsidR="00D802E1" w:rsidRPr="004E615D" w:rsidRDefault="001C6C14" w:rsidP="001C5C2F">
      <w:pPr>
        <w:pStyle w:val="HTML"/>
        <w:ind w:right="-92" w:firstLine="851"/>
        <w:jc w:val="both"/>
        <w:rPr>
          <w:rFonts w:asciiTheme="majorBidi" w:hAnsiTheme="majorBidi" w:cstheme="majorBidi"/>
          <w:sz w:val="28"/>
          <w:szCs w:val="28"/>
          <w:lang w:val="en-GB"/>
        </w:rPr>
      </w:pPr>
      <w:r w:rsidRPr="004E615D">
        <w:rPr>
          <w:rFonts w:ascii="Times New Roman" w:hAnsi="Times New Roman"/>
          <w:sz w:val="28"/>
          <w:szCs w:val="28"/>
          <w:lang w:val="en-GB"/>
        </w:rPr>
        <w:t>Federal Constitutional Court of Federal Republic of Germany</w:t>
      </w:r>
      <w:r w:rsidR="00D46551" w:rsidRPr="004E615D">
        <w:rPr>
          <w:rFonts w:asciiTheme="majorBidi" w:hAnsiTheme="majorBidi" w:cstheme="majorBidi"/>
          <w:sz w:val="28"/>
          <w:szCs w:val="28"/>
          <w:lang w:val="en-GB"/>
        </w:rPr>
        <w:t xml:space="preserve">, </w:t>
      </w:r>
      <w:r w:rsidR="000268E2" w:rsidRPr="004E615D">
        <w:rPr>
          <w:rFonts w:asciiTheme="majorBidi" w:hAnsiTheme="majorBidi" w:cstheme="majorBidi"/>
          <w:sz w:val="28"/>
          <w:szCs w:val="28"/>
          <w:lang w:val="en-GB"/>
        </w:rPr>
        <w:t>no.</w:t>
      </w:r>
      <w:r w:rsidR="00D46551" w:rsidRPr="004E615D">
        <w:rPr>
          <w:rFonts w:asciiTheme="majorBidi" w:hAnsiTheme="majorBidi" w:cstheme="majorBidi"/>
          <w:sz w:val="28"/>
          <w:szCs w:val="28"/>
          <w:lang w:val="en-GB"/>
        </w:rPr>
        <w:t xml:space="preserve"> BVerfG 2 BvR 2136/17</w:t>
      </w:r>
      <w:r w:rsidR="001C5C2F" w:rsidRPr="004E615D">
        <w:rPr>
          <w:rFonts w:asciiTheme="majorBidi" w:hAnsiTheme="majorBidi" w:cstheme="majorBidi"/>
          <w:sz w:val="28"/>
          <w:szCs w:val="28"/>
          <w:lang w:val="en-GB"/>
        </w:rPr>
        <w:t>,</w:t>
      </w:r>
      <w:r w:rsidRPr="004E615D">
        <w:rPr>
          <w:rFonts w:asciiTheme="majorBidi" w:hAnsiTheme="majorBidi" w:cstheme="majorBidi"/>
          <w:sz w:val="28"/>
          <w:szCs w:val="28"/>
          <w:lang w:val="en-GB"/>
        </w:rPr>
        <w:t xml:space="preserve"> 13.02.2019.</w:t>
      </w:r>
    </w:p>
    <w:p w:rsidR="001C5C2F" w:rsidRPr="004E615D" w:rsidRDefault="001C6C14" w:rsidP="008E1869">
      <w:pPr>
        <w:pStyle w:val="HTML"/>
        <w:ind w:right="-92" w:firstLine="851"/>
        <w:rPr>
          <w:rFonts w:asciiTheme="majorBidi" w:hAnsiTheme="majorBidi" w:cstheme="majorBidi"/>
          <w:sz w:val="28"/>
          <w:szCs w:val="28"/>
          <w:lang w:val="en-GB"/>
        </w:rPr>
      </w:pPr>
      <w:r w:rsidRPr="004E615D">
        <w:rPr>
          <w:rFonts w:asciiTheme="majorBidi" w:hAnsiTheme="majorBidi" w:cstheme="majorBidi"/>
          <w:sz w:val="28"/>
          <w:szCs w:val="28"/>
          <w:lang w:val="en-GB"/>
        </w:rPr>
        <w:t>Constitutional Court of the Republic of Latvia, no. 2015-19-01, 29.04.2016.</w:t>
      </w:r>
    </w:p>
    <w:p w:rsidR="00D46551" w:rsidRPr="004E615D" w:rsidRDefault="003D5CEB" w:rsidP="008E1869">
      <w:pPr>
        <w:pStyle w:val="HTML"/>
        <w:ind w:right="-92" w:firstLine="851"/>
        <w:jc w:val="both"/>
        <w:rPr>
          <w:rFonts w:asciiTheme="majorBidi" w:hAnsiTheme="majorBidi" w:cstheme="majorBidi"/>
          <w:sz w:val="28"/>
          <w:szCs w:val="28"/>
          <w:lang w:val="en-GB"/>
        </w:rPr>
      </w:pPr>
      <w:r w:rsidRPr="004E615D">
        <w:rPr>
          <w:rFonts w:asciiTheme="majorBidi" w:hAnsiTheme="majorBidi" w:cstheme="majorBidi"/>
          <w:sz w:val="28"/>
          <w:szCs w:val="28"/>
          <w:lang w:val="en-GB"/>
        </w:rPr>
        <w:t xml:space="preserve">Constitutional Court of the Republic of Latvia, </w:t>
      </w:r>
      <w:r w:rsidR="000268E2" w:rsidRPr="004E615D">
        <w:rPr>
          <w:rFonts w:asciiTheme="majorBidi" w:hAnsiTheme="majorBidi" w:cstheme="majorBidi"/>
          <w:sz w:val="28"/>
          <w:szCs w:val="28"/>
          <w:lang w:val="en-GB"/>
        </w:rPr>
        <w:t>no.</w:t>
      </w:r>
      <w:r w:rsidR="00B0115D" w:rsidRPr="004E615D">
        <w:rPr>
          <w:rFonts w:asciiTheme="majorBidi" w:hAnsiTheme="majorBidi" w:cstheme="majorBidi"/>
          <w:sz w:val="28"/>
          <w:szCs w:val="28"/>
          <w:lang w:val="en-GB"/>
        </w:rPr>
        <w:t xml:space="preserve"> 2001-10-01</w:t>
      </w:r>
      <w:r w:rsidR="000268E2" w:rsidRPr="004E615D">
        <w:rPr>
          <w:rFonts w:asciiTheme="majorBidi" w:hAnsiTheme="majorBidi" w:cstheme="majorBidi"/>
          <w:sz w:val="28"/>
          <w:szCs w:val="28"/>
          <w:lang w:val="en-GB"/>
        </w:rPr>
        <w:t xml:space="preserve">, </w:t>
      </w:r>
      <w:r w:rsidRPr="004E615D">
        <w:rPr>
          <w:rFonts w:asciiTheme="majorBidi" w:hAnsiTheme="majorBidi" w:cstheme="majorBidi"/>
          <w:sz w:val="28"/>
          <w:szCs w:val="28"/>
          <w:lang w:val="en-GB"/>
        </w:rPr>
        <w:t>05.03.2002</w:t>
      </w:r>
      <w:r w:rsidR="008E1869" w:rsidRPr="004E615D">
        <w:rPr>
          <w:rFonts w:asciiTheme="majorBidi" w:hAnsiTheme="majorBidi" w:cstheme="majorBidi"/>
          <w:sz w:val="28"/>
          <w:szCs w:val="28"/>
          <w:lang w:val="en-GB"/>
        </w:rPr>
        <w:t>.</w:t>
      </w:r>
    </w:p>
    <w:p w:rsidR="00D46551" w:rsidRPr="004E615D" w:rsidRDefault="00D46551" w:rsidP="002909C7">
      <w:pPr>
        <w:pStyle w:val="HTML"/>
        <w:ind w:right="-92" w:firstLine="851"/>
        <w:jc w:val="both"/>
        <w:rPr>
          <w:rFonts w:asciiTheme="majorBidi" w:hAnsiTheme="majorBidi" w:cstheme="majorBidi"/>
          <w:sz w:val="28"/>
          <w:szCs w:val="28"/>
          <w:lang w:val="en-GB"/>
        </w:rPr>
      </w:pPr>
    </w:p>
    <w:sectPr w:rsidR="00D46551" w:rsidRPr="004E615D">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9DC" w:rsidRDefault="00FE49DC" w:rsidP="00786030">
      <w:r>
        <w:separator/>
      </w:r>
    </w:p>
  </w:endnote>
  <w:endnote w:type="continuationSeparator" w:id="0">
    <w:p w:rsidR="00FE49DC" w:rsidRDefault="00FE49DC"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9DC" w:rsidRDefault="00FE49DC" w:rsidP="00786030">
      <w:r>
        <w:separator/>
      </w:r>
    </w:p>
  </w:footnote>
  <w:footnote w:type="continuationSeparator" w:id="0">
    <w:p w:rsidR="00FE49DC" w:rsidRDefault="00FE49DC" w:rsidP="00786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807B1"/>
    <w:multiLevelType w:val="hybridMultilevel"/>
    <w:tmpl w:val="F2A66EC2"/>
    <w:lvl w:ilvl="0" w:tplc="F00EDEB2">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1" w15:restartNumberingAfterBreak="0">
    <w:nsid w:val="43751829"/>
    <w:multiLevelType w:val="hybridMultilevel"/>
    <w:tmpl w:val="8EC0D430"/>
    <w:lvl w:ilvl="0" w:tplc="7C146E80">
      <w:numFmt w:val="bullet"/>
      <w:lvlText w:val="-"/>
      <w:lvlJc w:val="left"/>
      <w:pPr>
        <w:ind w:left="1286" w:hanging="360"/>
      </w:pPr>
      <w:rPr>
        <w:rFonts w:ascii="Times New Roman" w:eastAsia="Times New Roman" w:hAnsi="Times New Roman" w:cs="Times New Roman" w:hint="default"/>
      </w:rPr>
    </w:lvl>
    <w:lvl w:ilvl="1" w:tplc="04220003" w:tentative="1">
      <w:start w:val="1"/>
      <w:numFmt w:val="bullet"/>
      <w:lvlText w:val="o"/>
      <w:lvlJc w:val="left"/>
      <w:pPr>
        <w:ind w:left="2006" w:hanging="360"/>
      </w:pPr>
      <w:rPr>
        <w:rFonts w:ascii="Courier New" w:hAnsi="Courier New" w:cs="Courier New" w:hint="default"/>
      </w:rPr>
    </w:lvl>
    <w:lvl w:ilvl="2" w:tplc="04220005" w:tentative="1">
      <w:start w:val="1"/>
      <w:numFmt w:val="bullet"/>
      <w:lvlText w:val=""/>
      <w:lvlJc w:val="left"/>
      <w:pPr>
        <w:ind w:left="2726" w:hanging="360"/>
      </w:pPr>
      <w:rPr>
        <w:rFonts w:ascii="Wingdings" w:hAnsi="Wingdings" w:hint="default"/>
      </w:rPr>
    </w:lvl>
    <w:lvl w:ilvl="3" w:tplc="04220001" w:tentative="1">
      <w:start w:val="1"/>
      <w:numFmt w:val="bullet"/>
      <w:lvlText w:val=""/>
      <w:lvlJc w:val="left"/>
      <w:pPr>
        <w:ind w:left="3446" w:hanging="360"/>
      </w:pPr>
      <w:rPr>
        <w:rFonts w:ascii="Symbol" w:hAnsi="Symbol" w:hint="default"/>
      </w:rPr>
    </w:lvl>
    <w:lvl w:ilvl="4" w:tplc="04220003" w:tentative="1">
      <w:start w:val="1"/>
      <w:numFmt w:val="bullet"/>
      <w:lvlText w:val="o"/>
      <w:lvlJc w:val="left"/>
      <w:pPr>
        <w:ind w:left="4166" w:hanging="360"/>
      </w:pPr>
      <w:rPr>
        <w:rFonts w:ascii="Courier New" w:hAnsi="Courier New" w:cs="Courier New" w:hint="default"/>
      </w:rPr>
    </w:lvl>
    <w:lvl w:ilvl="5" w:tplc="04220005" w:tentative="1">
      <w:start w:val="1"/>
      <w:numFmt w:val="bullet"/>
      <w:lvlText w:val=""/>
      <w:lvlJc w:val="left"/>
      <w:pPr>
        <w:ind w:left="4886" w:hanging="360"/>
      </w:pPr>
      <w:rPr>
        <w:rFonts w:ascii="Wingdings" w:hAnsi="Wingdings" w:hint="default"/>
      </w:rPr>
    </w:lvl>
    <w:lvl w:ilvl="6" w:tplc="04220001" w:tentative="1">
      <w:start w:val="1"/>
      <w:numFmt w:val="bullet"/>
      <w:lvlText w:val=""/>
      <w:lvlJc w:val="left"/>
      <w:pPr>
        <w:ind w:left="5606" w:hanging="360"/>
      </w:pPr>
      <w:rPr>
        <w:rFonts w:ascii="Symbol" w:hAnsi="Symbol" w:hint="default"/>
      </w:rPr>
    </w:lvl>
    <w:lvl w:ilvl="7" w:tplc="04220003" w:tentative="1">
      <w:start w:val="1"/>
      <w:numFmt w:val="bullet"/>
      <w:lvlText w:val="o"/>
      <w:lvlJc w:val="left"/>
      <w:pPr>
        <w:ind w:left="6326" w:hanging="360"/>
      </w:pPr>
      <w:rPr>
        <w:rFonts w:ascii="Courier New" w:hAnsi="Courier New" w:cs="Courier New" w:hint="default"/>
      </w:rPr>
    </w:lvl>
    <w:lvl w:ilvl="8" w:tplc="04220005" w:tentative="1">
      <w:start w:val="1"/>
      <w:numFmt w:val="bullet"/>
      <w:lvlText w:val=""/>
      <w:lvlJc w:val="left"/>
      <w:pPr>
        <w:ind w:left="7046" w:hanging="360"/>
      </w:pPr>
      <w:rPr>
        <w:rFonts w:ascii="Wingdings" w:hAnsi="Wingdings" w:hint="default"/>
      </w:rPr>
    </w:lvl>
  </w:abstractNum>
  <w:abstractNum w:abstractNumId="2" w15:restartNumberingAfterBreak="0">
    <w:nsid w:val="6DD70DE4"/>
    <w:multiLevelType w:val="hybridMultilevel"/>
    <w:tmpl w:val="091273B0"/>
    <w:lvl w:ilvl="0" w:tplc="F00EDEB2">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35BF"/>
    <w:rsid w:val="00003C0B"/>
    <w:rsid w:val="000050A7"/>
    <w:rsid w:val="000115DE"/>
    <w:rsid w:val="000151A3"/>
    <w:rsid w:val="00017D90"/>
    <w:rsid w:val="000200A7"/>
    <w:rsid w:val="00023A8B"/>
    <w:rsid w:val="0002430F"/>
    <w:rsid w:val="000268E2"/>
    <w:rsid w:val="00030650"/>
    <w:rsid w:val="00034AD8"/>
    <w:rsid w:val="00034ADC"/>
    <w:rsid w:val="000354BE"/>
    <w:rsid w:val="000410B6"/>
    <w:rsid w:val="00041DCE"/>
    <w:rsid w:val="000460DF"/>
    <w:rsid w:val="00067DC3"/>
    <w:rsid w:val="00072DF8"/>
    <w:rsid w:val="00074218"/>
    <w:rsid w:val="000746E1"/>
    <w:rsid w:val="00084670"/>
    <w:rsid w:val="00084C15"/>
    <w:rsid w:val="0008710F"/>
    <w:rsid w:val="000911FC"/>
    <w:rsid w:val="00091C1E"/>
    <w:rsid w:val="000A0FA5"/>
    <w:rsid w:val="000A29A0"/>
    <w:rsid w:val="000A5096"/>
    <w:rsid w:val="000A7695"/>
    <w:rsid w:val="000B1DA5"/>
    <w:rsid w:val="000B48B1"/>
    <w:rsid w:val="000B5A68"/>
    <w:rsid w:val="000C1BB9"/>
    <w:rsid w:val="000C3453"/>
    <w:rsid w:val="000D1B9A"/>
    <w:rsid w:val="000D2B7D"/>
    <w:rsid w:val="000D67B4"/>
    <w:rsid w:val="000E0336"/>
    <w:rsid w:val="000F6985"/>
    <w:rsid w:val="000F6E3C"/>
    <w:rsid w:val="00101629"/>
    <w:rsid w:val="0010239A"/>
    <w:rsid w:val="001024FD"/>
    <w:rsid w:val="00103CA9"/>
    <w:rsid w:val="001119CE"/>
    <w:rsid w:val="00113D2E"/>
    <w:rsid w:val="001201F5"/>
    <w:rsid w:val="00133C47"/>
    <w:rsid w:val="001340AC"/>
    <w:rsid w:val="00134359"/>
    <w:rsid w:val="0014556F"/>
    <w:rsid w:val="00147AF0"/>
    <w:rsid w:val="0015415C"/>
    <w:rsid w:val="0016128D"/>
    <w:rsid w:val="00163FDE"/>
    <w:rsid w:val="00166633"/>
    <w:rsid w:val="00167684"/>
    <w:rsid w:val="0017039F"/>
    <w:rsid w:val="00175486"/>
    <w:rsid w:val="00190233"/>
    <w:rsid w:val="00190FB2"/>
    <w:rsid w:val="001917EA"/>
    <w:rsid w:val="00192668"/>
    <w:rsid w:val="001933AA"/>
    <w:rsid w:val="001A3DAF"/>
    <w:rsid w:val="001A6F9C"/>
    <w:rsid w:val="001A7938"/>
    <w:rsid w:val="001B056E"/>
    <w:rsid w:val="001B1A42"/>
    <w:rsid w:val="001B1F2F"/>
    <w:rsid w:val="001B1FB6"/>
    <w:rsid w:val="001B2174"/>
    <w:rsid w:val="001C0D8F"/>
    <w:rsid w:val="001C2064"/>
    <w:rsid w:val="001C3098"/>
    <w:rsid w:val="001C5C2F"/>
    <w:rsid w:val="001C6C14"/>
    <w:rsid w:val="001C71B1"/>
    <w:rsid w:val="001D2A70"/>
    <w:rsid w:val="001D4E64"/>
    <w:rsid w:val="001D5675"/>
    <w:rsid w:val="001D5B22"/>
    <w:rsid w:val="001E1344"/>
    <w:rsid w:val="001E7D01"/>
    <w:rsid w:val="001F17CE"/>
    <w:rsid w:val="001F7C76"/>
    <w:rsid w:val="00202ED0"/>
    <w:rsid w:val="00203186"/>
    <w:rsid w:val="00207863"/>
    <w:rsid w:val="0020799E"/>
    <w:rsid w:val="00210133"/>
    <w:rsid w:val="00213752"/>
    <w:rsid w:val="002152D3"/>
    <w:rsid w:val="002177BC"/>
    <w:rsid w:val="00224A65"/>
    <w:rsid w:val="00226F05"/>
    <w:rsid w:val="002275CB"/>
    <w:rsid w:val="00232AD1"/>
    <w:rsid w:val="00232BBD"/>
    <w:rsid w:val="00233512"/>
    <w:rsid w:val="00234BBC"/>
    <w:rsid w:val="002355AC"/>
    <w:rsid w:val="002361BE"/>
    <w:rsid w:val="0023678B"/>
    <w:rsid w:val="00236A44"/>
    <w:rsid w:val="0024655C"/>
    <w:rsid w:val="002466EB"/>
    <w:rsid w:val="00246BEE"/>
    <w:rsid w:val="00247AD2"/>
    <w:rsid w:val="00247EEA"/>
    <w:rsid w:val="00253797"/>
    <w:rsid w:val="0025557C"/>
    <w:rsid w:val="002557BC"/>
    <w:rsid w:val="0025668A"/>
    <w:rsid w:val="0026197E"/>
    <w:rsid w:val="002665ED"/>
    <w:rsid w:val="00267822"/>
    <w:rsid w:val="0027786D"/>
    <w:rsid w:val="00286F1A"/>
    <w:rsid w:val="002909C7"/>
    <w:rsid w:val="00290CC3"/>
    <w:rsid w:val="00292E69"/>
    <w:rsid w:val="00296A67"/>
    <w:rsid w:val="00296CB4"/>
    <w:rsid w:val="002974C5"/>
    <w:rsid w:val="002A1418"/>
    <w:rsid w:val="002B276A"/>
    <w:rsid w:val="002B306C"/>
    <w:rsid w:val="002C050D"/>
    <w:rsid w:val="002C3AC4"/>
    <w:rsid w:val="002C55D0"/>
    <w:rsid w:val="002C6EEE"/>
    <w:rsid w:val="002D0D02"/>
    <w:rsid w:val="002D1ABE"/>
    <w:rsid w:val="002D4E25"/>
    <w:rsid w:val="002E29F7"/>
    <w:rsid w:val="002E3687"/>
    <w:rsid w:val="002E4860"/>
    <w:rsid w:val="002E49E0"/>
    <w:rsid w:val="002E6F4D"/>
    <w:rsid w:val="002E71A0"/>
    <w:rsid w:val="002F57DF"/>
    <w:rsid w:val="002F7532"/>
    <w:rsid w:val="002F77F9"/>
    <w:rsid w:val="003079DD"/>
    <w:rsid w:val="0031187C"/>
    <w:rsid w:val="0032027F"/>
    <w:rsid w:val="00325EF4"/>
    <w:rsid w:val="0032779B"/>
    <w:rsid w:val="00327AA8"/>
    <w:rsid w:val="0033508B"/>
    <w:rsid w:val="003415B0"/>
    <w:rsid w:val="0034770A"/>
    <w:rsid w:val="00354DD9"/>
    <w:rsid w:val="003551DD"/>
    <w:rsid w:val="00361869"/>
    <w:rsid w:val="00363D69"/>
    <w:rsid w:val="00364968"/>
    <w:rsid w:val="00373E47"/>
    <w:rsid w:val="00374DC3"/>
    <w:rsid w:val="003765F4"/>
    <w:rsid w:val="00381B02"/>
    <w:rsid w:val="00383A5A"/>
    <w:rsid w:val="0038408E"/>
    <w:rsid w:val="00384778"/>
    <w:rsid w:val="003914C8"/>
    <w:rsid w:val="00394220"/>
    <w:rsid w:val="00395B3B"/>
    <w:rsid w:val="00397EF9"/>
    <w:rsid w:val="003A4E34"/>
    <w:rsid w:val="003B2315"/>
    <w:rsid w:val="003B3CAF"/>
    <w:rsid w:val="003B531D"/>
    <w:rsid w:val="003B70F5"/>
    <w:rsid w:val="003C5D89"/>
    <w:rsid w:val="003C6457"/>
    <w:rsid w:val="003D17E9"/>
    <w:rsid w:val="003D2BFF"/>
    <w:rsid w:val="003D5CEB"/>
    <w:rsid w:val="003D6CBF"/>
    <w:rsid w:val="003D7338"/>
    <w:rsid w:val="003F0F01"/>
    <w:rsid w:val="003F22AB"/>
    <w:rsid w:val="003F29E5"/>
    <w:rsid w:val="003F4482"/>
    <w:rsid w:val="003F5604"/>
    <w:rsid w:val="003F5C71"/>
    <w:rsid w:val="003F7155"/>
    <w:rsid w:val="00405B99"/>
    <w:rsid w:val="00406EC4"/>
    <w:rsid w:val="00407025"/>
    <w:rsid w:val="00410148"/>
    <w:rsid w:val="00412B6B"/>
    <w:rsid w:val="004150A0"/>
    <w:rsid w:val="0041523F"/>
    <w:rsid w:val="00420AB5"/>
    <w:rsid w:val="00420C3C"/>
    <w:rsid w:val="00422D54"/>
    <w:rsid w:val="0042337D"/>
    <w:rsid w:val="0042546F"/>
    <w:rsid w:val="0042711D"/>
    <w:rsid w:val="004331FF"/>
    <w:rsid w:val="00440EC6"/>
    <w:rsid w:val="00441734"/>
    <w:rsid w:val="0044238F"/>
    <w:rsid w:val="0044368A"/>
    <w:rsid w:val="004457D2"/>
    <w:rsid w:val="00451A71"/>
    <w:rsid w:val="00454A1F"/>
    <w:rsid w:val="0045541F"/>
    <w:rsid w:val="00463D76"/>
    <w:rsid w:val="0046401B"/>
    <w:rsid w:val="00465098"/>
    <w:rsid w:val="00467A21"/>
    <w:rsid w:val="004710FF"/>
    <w:rsid w:val="00471602"/>
    <w:rsid w:val="00471F97"/>
    <w:rsid w:val="004830EA"/>
    <w:rsid w:val="00494829"/>
    <w:rsid w:val="004950AD"/>
    <w:rsid w:val="00497572"/>
    <w:rsid w:val="004A27B8"/>
    <w:rsid w:val="004A3624"/>
    <w:rsid w:val="004A4CEF"/>
    <w:rsid w:val="004A5F5C"/>
    <w:rsid w:val="004A6556"/>
    <w:rsid w:val="004B4B33"/>
    <w:rsid w:val="004B64C4"/>
    <w:rsid w:val="004B7FAC"/>
    <w:rsid w:val="004C12FC"/>
    <w:rsid w:val="004C18BF"/>
    <w:rsid w:val="004C6612"/>
    <w:rsid w:val="004D29F7"/>
    <w:rsid w:val="004D4E9C"/>
    <w:rsid w:val="004E615D"/>
    <w:rsid w:val="004E6389"/>
    <w:rsid w:val="004E675D"/>
    <w:rsid w:val="004E7A5F"/>
    <w:rsid w:val="004F047E"/>
    <w:rsid w:val="004F3993"/>
    <w:rsid w:val="004F4D80"/>
    <w:rsid w:val="0050137A"/>
    <w:rsid w:val="00502440"/>
    <w:rsid w:val="00502951"/>
    <w:rsid w:val="00502A32"/>
    <w:rsid w:val="005047D2"/>
    <w:rsid w:val="00512A15"/>
    <w:rsid w:val="00515864"/>
    <w:rsid w:val="00515E68"/>
    <w:rsid w:val="005166E1"/>
    <w:rsid w:val="005203F9"/>
    <w:rsid w:val="0052093A"/>
    <w:rsid w:val="005232F2"/>
    <w:rsid w:val="00523C3F"/>
    <w:rsid w:val="00524009"/>
    <w:rsid w:val="0052439D"/>
    <w:rsid w:val="005320A5"/>
    <w:rsid w:val="00533528"/>
    <w:rsid w:val="005414DF"/>
    <w:rsid w:val="00542D4F"/>
    <w:rsid w:val="00543C1C"/>
    <w:rsid w:val="005470DB"/>
    <w:rsid w:val="00550441"/>
    <w:rsid w:val="00551693"/>
    <w:rsid w:val="0056471B"/>
    <w:rsid w:val="00567806"/>
    <w:rsid w:val="00567FFB"/>
    <w:rsid w:val="00570F0E"/>
    <w:rsid w:val="00572F63"/>
    <w:rsid w:val="0057514E"/>
    <w:rsid w:val="005819B3"/>
    <w:rsid w:val="00584600"/>
    <w:rsid w:val="00585C6F"/>
    <w:rsid w:val="005907F0"/>
    <w:rsid w:val="00593BB9"/>
    <w:rsid w:val="00594B62"/>
    <w:rsid w:val="005A709E"/>
    <w:rsid w:val="005B4EE9"/>
    <w:rsid w:val="005C0B06"/>
    <w:rsid w:val="005C1862"/>
    <w:rsid w:val="005C48D6"/>
    <w:rsid w:val="005C5724"/>
    <w:rsid w:val="005C64DC"/>
    <w:rsid w:val="005D121C"/>
    <w:rsid w:val="005D5885"/>
    <w:rsid w:val="005E2F18"/>
    <w:rsid w:val="005E451F"/>
    <w:rsid w:val="005E5067"/>
    <w:rsid w:val="005E742F"/>
    <w:rsid w:val="005F102B"/>
    <w:rsid w:val="005F3EF2"/>
    <w:rsid w:val="005F4F51"/>
    <w:rsid w:val="0060066A"/>
    <w:rsid w:val="006040D8"/>
    <w:rsid w:val="00605125"/>
    <w:rsid w:val="00605614"/>
    <w:rsid w:val="00606FC1"/>
    <w:rsid w:val="00611044"/>
    <w:rsid w:val="00612D18"/>
    <w:rsid w:val="0061384B"/>
    <w:rsid w:val="00613CA5"/>
    <w:rsid w:val="00621AA2"/>
    <w:rsid w:val="00624E81"/>
    <w:rsid w:val="00626149"/>
    <w:rsid w:val="00626572"/>
    <w:rsid w:val="00626B37"/>
    <w:rsid w:val="00634EF6"/>
    <w:rsid w:val="006444EC"/>
    <w:rsid w:val="0064735D"/>
    <w:rsid w:val="006476C6"/>
    <w:rsid w:val="00651072"/>
    <w:rsid w:val="0065172C"/>
    <w:rsid w:val="00655C27"/>
    <w:rsid w:val="006564C8"/>
    <w:rsid w:val="00662AB4"/>
    <w:rsid w:val="00665E2E"/>
    <w:rsid w:val="00667394"/>
    <w:rsid w:val="006702EC"/>
    <w:rsid w:val="00677F55"/>
    <w:rsid w:val="00680E1C"/>
    <w:rsid w:val="00683A8D"/>
    <w:rsid w:val="006927E5"/>
    <w:rsid w:val="00692F3A"/>
    <w:rsid w:val="00696B07"/>
    <w:rsid w:val="006A734C"/>
    <w:rsid w:val="006B05CF"/>
    <w:rsid w:val="006B0896"/>
    <w:rsid w:val="006B223B"/>
    <w:rsid w:val="006B3940"/>
    <w:rsid w:val="006B5292"/>
    <w:rsid w:val="006B6F37"/>
    <w:rsid w:val="006C30B9"/>
    <w:rsid w:val="006C51F5"/>
    <w:rsid w:val="006C6262"/>
    <w:rsid w:val="006C7457"/>
    <w:rsid w:val="006D3329"/>
    <w:rsid w:val="006D3698"/>
    <w:rsid w:val="006F1C30"/>
    <w:rsid w:val="006F40E2"/>
    <w:rsid w:val="006F689B"/>
    <w:rsid w:val="006F7B84"/>
    <w:rsid w:val="00704BF1"/>
    <w:rsid w:val="00707C44"/>
    <w:rsid w:val="0071096C"/>
    <w:rsid w:val="0071183C"/>
    <w:rsid w:val="00711AF8"/>
    <w:rsid w:val="00724510"/>
    <w:rsid w:val="007254AE"/>
    <w:rsid w:val="007260AA"/>
    <w:rsid w:val="007308EA"/>
    <w:rsid w:val="00732322"/>
    <w:rsid w:val="00733C2A"/>
    <w:rsid w:val="00735F7B"/>
    <w:rsid w:val="007364F0"/>
    <w:rsid w:val="00737FEE"/>
    <w:rsid w:val="00743C57"/>
    <w:rsid w:val="00744C72"/>
    <w:rsid w:val="0074794D"/>
    <w:rsid w:val="0075020C"/>
    <w:rsid w:val="00751605"/>
    <w:rsid w:val="00756B58"/>
    <w:rsid w:val="00756E2C"/>
    <w:rsid w:val="00757019"/>
    <w:rsid w:val="007606F6"/>
    <w:rsid w:val="00763B4A"/>
    <w:rsid w:val="007655D3"/>
    <w:rsid w:val="00766138"/>
    <w:rsid w:val="00766B2B"/>
    <w:rsid w:val="00782141"/>
    <w:rsid w:val="00786030"/>
    <w:rsid w:val="00786BB9"/>
    <w:rsid w:val="00787705"/>
    <w:rsid w:val="007906E6"/>
    <w:rsid w:val="00791B51"/>
    <w:rsid w:val="007934F8"/>
    <w:rsid w:val="007956E9"/>
    <w:rsid w:val="0079764F"/>
    <w:rsid w:val="007A2229"/>
    <w:rsid w:val="007A4AE0"/>
    <w:rsid w:val="007A58A9"/>
    <w:rsid w:val="007B1FC5"/>
    <w:rsid w:val="007B2D8A"/>
    <w:rsid w:val="007B7215"/>
    <w:rsid w:val="007C08A9"/>
    <w:rsid w:val="007D1B2B"/>
    <w:rsid w:val="007D6FE4"/>
    <w:rsid w:val="007E06EF"/>
    <w:rsid w:val="007E464A"/>
    <w:rsid w:val="007E5589"/>
    <w:rsid w:val="007F186E"/>
    <w:rsid w:val="007F1C60"/>
    <w:rsid w:val="007F3C93"/>
    <w:rsid w:val="00805825"/>
    <w:rsid w:val="00806468"/>
    <w:rsid w:val="00811A23"/>
    <w:rsid w:val="008121D6"/>
    <w:rsid w:val="008139B2"/>
    <w:rsid w:val="0082146E"/>
    <w:rsid w:val="008226C2"/>
    <w:rsid w:val="00826A7A"/>
    <w:rsid w:val="00836607"/>
    <w:rsid w:val="00837BC7"/>
    <w:rsid w:val="00842722"/>
    <w:rsid w:val="00842997"/>
    <w:rsid w:val="00843AFC"/>
    <w:rsid w:val="00854ABB"/>
    <w:rsid w:val="00870CD7"/>
    <w:rsid w:val="00872345"/>
    <w:rsid w:val="00876160"/>
    <w:rsid w:val="008778CF"/>
    <w:rsid w:val="00880A08"/>
    <w:rsid w:val="00880BC2"/>
    <w:rsid w:val="0088521F"/>
    <w:rsid w:val="00887EE4"/>
    <w:rsid w:val="00894599"/>
    <w:rsid w:val="00894B38"/>
    <w:rsid w:val="00896413"/>
    <w:rsid w:val="008A361D"/>
    <w:rsid w:val="008A7E1B"/>
    <w:rsid w:val="008B4D20"/>
    <w:rsid w:val="008C0445"/>
    <w:rsid w:val="008C08D3"/>
    <w:rsid w:val="008C1C1D"/>
    <w:rsid w:val="008C20B2"/>
    <w:rsid w:val="008C760C"/>
    <w:rsid w:val="008D0243"/>
    <w:rsid w:val="008D0898"/>
    <w:rsid w:val="008E1869"/>
    <w:rsid w:val="008E4299"/>
    <w:rsid w:val="008E57B6"/>
    <w:rsid w:val="008E77E4"/>
    <w:rsid w:val="008F05B4"/>
    <w:rsid w:val="008F0EC8"/>
    <w:rsid w:val="008F2657"/>
    <w:rsid w:val="008F2A16"/>
    <w:rsid w:val="008F5C27"/>
    <w:rsid w:val="00900388"/>
    <w:rsid w:val="00902E7A"/>
    <w:rsid w:val="0090695C"/>
    <w:rsid w:val="009073F1"/>
    <w:rsid w:val="00910098"/>
    <w:rsid w:val="00913DF7"/>
    <w:rsid w:val="00914AA3"/>
    <w:rsid w:val="009209DE"/>
    <w:rsid w:val="009244AA"/>
    <w:rsid w:val="0092477B"/>
    <w:rsid w:val="00930C66"/>
    <w:rsid w:val="00930E35"/>
    <w:rsid w:val="009312B6"/>
    <w:rsid w:val="00931D0D"/>
    <w:rsid w:val="00931E46"/>
    <w:rsid w:val="0094311B"/>
    <w:rsid w:val="00946A37"/>
    <w:rsid w:val="00947F35"/>
    <w:rsid w:val="0095183B"/>
    <w:rsid w:val="00952766"/>
    <w:rsid w:val="009573CB"/>
    <w:rsid w:val="00957B2E"/>
    <w:rsid w:val="009608C8"/>
    <w:rsid w:val="00966BAD"/>
    <w:rsid w:val="0096770B"/>
    <w:rsid w:val="00970CAF"/>
    <w:rsid w:val="00974E51"/>
    <w:rsid w:val="00984EF3"/>
    <w:rsid w:val="00985CEA"/>
    <w:rsid w:val="009865E2"/>
    <w:rsid w:val="00986EEF"/>
    <w:rsid w:val="00990D42"/>
    <w:rsid w:val="00991F98"/>
    <w:rsid w:val="00992FC7"/>
    <w:rsid w:val="00993AA2"/>
    <w:rsid w:val="00993EB7"/>
    <w:rsid w:val="00994CAA"/>
    <w:rsid w:val="009967DC"/>
    <w:rsid w:val="009A01DA"/>
    <w:rsid w:val="009B4C02"/>
    <w:rsid w:val="009C1165"/>
    <w:rsid w:val="009C6175"/>
    <w:rsid w:val="009C741C"/>
    <w:rsid w:val="009D1164"/>
    <w:rsid w:val="009D2C9E"/>
    <w:rsid w:val="009D5156"/>
    <w:rsid w:val="009D6359"/>
    <w:rsid w:val="009D7DCC"/>
    <w:rsid w:val="009E134C"/>
    <w:rsid w:val="009E224B"/>
    <w:rsid w:val="009E35A1"/>
    <w:rsid w:val="009E5585"/>
    <w:rsid w:val="009F300F"/>
    <w:rsid w:val="009F40D2"/>
    <w:rsid w:val="009F5DE6"/>
    <w:rsid w:val="00A0543B"/>
    <w:rsid w:val="00A07B00"/>
    <w:rsid w:val="00A16FB8"/>
    <w:rsid w:val="00A211A8"/>
    <w:rsid w:val="00A21FA8"/>
    <w:rsid w:val="00A26EC2"/>
    <w:rsid w:val="00A275B1"/>
    <w:rsid w:val="00A276D2"/>
    <w:rsid w:val="00A33391"/>
    <w:rsid w:val="00A33B0F"/>
    <w:rsid w:val="00A3596E"/>
    <w:rsid w:val="00A35E91"/>
    <w:rsid w:val="00A35F8B"/>
    <w:rsid w:val="00A40227"/>
    <w:rsid w:val="00A41C71"/>
    <w:rsid w:val="00A425DE"/>
    <w:rsid w:val="00A453EA"/>
    <w:rsid w:val="00A4559E"/>
    <w:rsid w:val="00A468DA"/>
    <w:rsid w:val="00A46C81"/>
    <w:rsid w:val="00A46D0D"/>
    <w:rsid w:val="00A5318B"/>
    <w:rsid w:val="00A56A69"/>
    <w:rsid w:val="00A621C7"/>
    <w:rsid w:val="00A630E9"/>
    <w:rsid w:val="00A65F0D"/>
    <w:rsid w:val="00A66995"/>
    <w:rsid w:val="00A708A5"/>
    <w:rsid w:val="00A809A6"/>
    <w:rsid w:val="00A84692"/>
    <w:rsid w:val="00AA498D"/>
    <w:rsid w:val="00AA4D83"/>
    <w:rsid w:val="00AA7448"/>
    <w:rsid w:val="00AB0CAF"/>
    <w:rsid w:val="00AB346A"/>
    <w:rsid w:val="00AB39B9"/>
    <w:rsid w:val="00AB4AF0"/>
    <w:rsid w:val="00AB64D0"/>
    <w:rsid w:val="00AC1AE2"/>
    <w:rsid w:val="00AC4041"/>
    <w:rsid w:val="00AC4908"/>
    <w:rsid w:val="00AC5FE8"/>
    <w:rsid w:val="00AD079C"/>
    <w:rsid w:val="00AD0E2C"/>
    <w:rsid w:val="00AD1B41"/>
    <w:rsid w:val="00AD1C3B"/>
    <w:rsid w:val="00AD2B6F"/>
    <w:rsid w:val="00AD2EA6"/>
    <w:rsid w:val="00AD3FA0"/>
    <w:rsid w:val="00AD4B5A"/>
    <w:rsid w:val="00AE56EF"/>
    <w:rsid w:val="00AE6266"/>
    <w:rsid w:val="00AE78FB"/>
    <w:rsid w:val="00AF358F"/>
    <w:rsid w:val="00AF4556"/>
    <w:rsid w:val="00AF5310"/>
    <w:rsid w:val="00B0115D"/>
    <w:rsid w:val="00B01FBD"/>
    <w:rsid w:val="00B06FA4"/>
    <w:rsid w:val="00B07BDA"/>
    <w:rsid w:val="00B2656D"/>
    <w:rsid w:val="00B26DF4"/>
    <w:rsid w:val="00B30FA6"/>
    <w:rsid w:val="00B31C49"/>
    <w:rsid w:val="00B3428F"/>
    <w:rsid w:val="00B375CA"/>
    <w:rsid w:val="00B45461"/>
    <w:rsid w:val="00B45797"/>
    <w:rsid w:val="00B45A97"/>
    <w:rsid w:val="00B45EE7"/>
    <w:rsid w:val="00B50BAA"/>
    <w:rsid w:val="00B531B5"/>
    <w:rsid w:val="00B5446F"/>
    <w:rsid w:val="00B54E3C"/>
    <w:rsid w:val="00B65696"/>
    <w:rsid w:val="00B65FC6"/>
    <w:rsid w:val="00B679F8"/>
    <w:rsid w:val="00B67F28"/>
    <w:rsid w:val="00B71B2D"/>
    <w:rsid w:val="00B71CE1"/>
    <w:rsid w:val="00B7793D"/>
    <w:rsid w:val="00B81D17"/>
    <w:rsid w:val="00B83398"/>
    <w:rsid w:val="00B91E62"/>
    <w:rsid w:val="00BA0988"/>
    <w:rsid w:val="00BA6EF4"/>
    <w:rsid w:val="00BB0F9E"/>
    <w:rsid w:val="00BC0782"/>
    <w:rsid w:val="00BC5565"/>
    <w:rsid w:val="00BC6501"/>
    <w:rsid w:val="00BD0420"/>
    <w:rsid w:val="00BD5C3B"/>
    <w:rsid w:val="00BE60C4"/>
    <w:rsid w:val="00BF19A8"/>
    <w:rsid w:val="00BF1FB1"/>
    <w:rsid w:val="00BF3A28"/>
    <w:rsid w:val="00BF6922"/>
    <w:rsid w:val="00C04D23"/>
    <w:rsid w:val="00C12929"/>
    <w:rsid w:val="00C14F53"/>
    <w:rsid w:val="00C15B79"/>
    <w:rsid w:val="00C16443"/>
    <w:rsid w:val="00C1702C"/>
    <w:rsid w:val="00C21957"/>
    <w:rsid w:val="00C279EB"/>
    <w:rsid w:val="00C27FE1"/>
    <w:rsid w:val="00C32174"/>
    <w:rsid w:val="00C43576"/>
    <w:rsid w:val="00C44E4F"/>
    <w:rsid w:val="00C453AB"/>
    <w:rsid w:val="00C4559E"/>
    <w:rsid w:val="00C51238"/>
    <w:rsid w:val="00C517CA"/>
    <w:rsid w:val="00C540EC"/>
    <w:rsid w:val="00C570ED"/>
    <w:rsid w:val="00C65005"/>
    <w:rsid w:val="00C71C29"/>
    <w:rsid w:val="00C75DF8"/>
    <w:rsid w:val="00C81A61"/>
    <w:rsid w:val="00C821B2"/>
    <w:rsid w:val="00C8416F"/>
    <w:rsid w:val="00C84BEF"/>
    <w:rsid w:val="00C94C15"/>
    <w:rsid w:val="00CB641B"/>
    <w:rsid w:val="00CC2BC1"/>
    <w:rsid w:val="00CC5896"/>
    <w:rsid w:val="00CD23CF"/>
    <w:rsid w:val="00CD36A2"/>
    <w:rsid w:val="00CD4B52"/>
    <w:rsid w:val="00CD7084"/>
    <w:rsid w:val="00CD789E"/>
    <w:rsid w:val="00CD7AD2"/>
    <w:rsid w:val="00CE33AF"/>
    <w:rsid w:val="00CE36DC"/>
    <w:rsid w:val="00CE64E8"/>
    <w:rsid w:val="00CE7204"/>
    <w:rsid w:val="00CF7974"/>
    <w:rsid w:val="00D1199E"/>
    <w:rsid w:val="00D13052"/>
    <w:rsid w:val="00D2289B"/>
    <w:rsid w:val="00D24C17"/>
    <w:rsid w:val="00D27850"/>
    <w:rsid w:val="00D35522"/>
    <w:rsid w:val="00D4258E"/>
    <w:rsid w:val="00D46551"/>
    <w:rsid w:val="00D5122E"/>
    <w:rsid w:val="00D62472"/>
    <w:rsid w:val="00D640B9"/>
    <w:rsid w:val="00D670A5"/>
    <w:rsid w:val="00D74A88"/>
    <w:rsid w:val="00D75F67"/>
    <w:rsid w:val="00D802E1"/>
    <w:rsid w:val="00D807B1"/>
    <w:rsid w:val="00D85A0A"/>
    <w:rsid w:val="00D85B4A"/>
    <w:rsid w:val="00D87277"/>
    <w:rsid w:val="00D95A03"/>
    <w:rsid w:val="00D970AC"/>
    <w:rsid w:val="00DA08C7"/>
    <w:rsid w:val="00DA1488"/>
    <w:rsid w:val="00DA552F"/>
    <w:rsid w:val="00DA5D60"/>
    <w:rsid w:val="00DA6639"/>
    <w:rsid w:val="00DB024A"/>
    <w:rsid w:val="00DB19E2"/>
    <w:rsid w:val="00DB43F5"/>
    <w:rsid w:val="00DB6427"/>
    <w:rsid w:val="00DC22E8"/>
    <w:rsid w:val="00DC5809"/>
    <w:rsid w:val="00DC5E29"/>
    <w:rsid w:val="00DC6136"/>
    <w:rsid w:val="00DD3ABC"/>
    <w:rsid w:val="00DD3DA8"/>
    <w:rsid w:val="00DD766B"/>
    <w:rsid w:val="00DE15B2"/>
    <w:rsid w:val="00DE1F14"/>
    <w:rsid w:val="00DE297C"/>
    <w:rsid w:val="00DE2F62"/>
    <w:rsid w:val="00DE3EDA"/>
    <w:rsid w:val="00DE69B2"/>
    <w:rsid w:val="00DF78B7"/>
    <w:rsid w:val="00E01688"/>
    <w:rsid w:val="00E0281B"/>
    <w:rsid w:val="00E06861"/>
    <w:rsid w:val="00E13F9F"/>
    <w:rsid w:val="00E1495A"/>
    <w:rsid w:val="00E178FD"/>
    <w:rsid w:val="00E2574A"/>
    <w:rsid w:val="00E26481"/>
    <w:rsid w:val="00E30728"/>
    <w:rsid w:val="00E32D4D"/>
    <w:rsid w:val="00E430BF"/>
    <w:rsid w:val="00E47C13"/>
    <w:rsid w:val="00E505A2"/>
    <w:rsid w:val="00E50F2F"/>
    <w:rsid w:val="00E542CC"/>
    <w:rsid w:val="00E55AA7"/>
    <w:rsid w:val="00E60FE4"/>
    <w:rsid w:val="00E62C01"/>
    <w:rsid w:val="00E63A5B"/>
    <w:rsid w:val="00E652CE"/>
    <w:rsid w:val="00E72DB6"/>
    <w:rsid w:val="00E74B26"/>
    <w:rsid w:val="00E75D87"/>
    <w:rsid w:val="00E77946"/>
    <w:rsid w:val="00E85315"/>
    <w:rsid w:val="00E91AE0"/>
    <w:rsid w:val="00EA1065"/>
    <w:rsid w:val="00EA4722"/>
    <w:rsid w:val="00EA6244"/>
    <w:rsid w:val="00EB288A"/>
    <w:rsid w:val="00EB69B5"/>
    <w:rsid w:val="00EB6F0F"/>
    <w:rsid w:val="00EB704E"/>
    <w:rsid w:val="00EB7785"/>
    <w:rsid w:val="00ED0F8F"/>
    <w:rsid w:val="00ED255B"/>
    <w:rsid w:val="00ED3778"/>
    <w:rsid w:val="00EE0D49"/>
    <w:rsid w:val="00EE1761"/>
    <w:rsid w:val="00EE1A93"/>
    <w:rsid w:val="00EE3782"/>
    <w:rsid w:val="00EE3C0F"/>
    <w:rsid w:val="00EE73B2"/>
    <w:rsid w:val="00EF26F2"/>
    <w:rsid w:val="00EF6163"/>
    <w:rsid w:val="00EF7958"/>
    <w:rsid w:val="00F00508"/>
    <w:rsid w:val="00F01257"/>
    <w:rsid w:val="00F03795"/>
    <w:rsid w:val="00F146DB"/>
    <w:rsid w:val="00F17BCB"/>
    <w:rsid w:val="00F252A8"/>
    <w:rsid w:val="00F27813"/>
    <w:rsid w:val="00F31154"/>
    <w:rsid w:val="00F329DF"/>
    <w:rsid w:val="00F37E99"/>
    <w:rsid w:val="00F40544"/>
    <w:rsid w:val="00F5206D"/>
    <w:rsid w:val="00F53179"/>
    <w:rsid w:val="00F53B7A"/>
    <w:rsid w:val="00F55545"/>
    <w:rsid w:val="00F628E0"/>
    <w:rsid w:val="00F6578B"/>
    <w:rsid w:val="00F66E26"/>
    <w:rsid w:val="00F679A1"/>
    <w:rsid w:val="00F758FF"/>
    <w:rsid w:val="00F75FB9"/>
    <w:rsid w:val="00F7712A"/>
    <w:rsid w:val="00F816D9"/>
    <w:rsid w:val="00F860AB"/>
    <w:rsid w:val="00F93277"/>
    <w:rsid w:val="00F93E5E"/>
    <w:rsid w:val="00FA7FDF"/>
    <w:rsid w:val="00FB1798"/>
    <w:rsid w:val="00FB46C6"/>
    <w:rsid w:val="00FC0882"/>
    <w:rsid w:val="00FC115A"/>
    <w:rsid w:val="00FC4513"/>
    <w:rsid w:val="00FC506E"/>
    <w:rsid w:val="00FD0500"/>
    <w:rsid w:val="00FD0DBB"/>
    <w:rsid w:val="00FD1A16"/>
    <w:rsid w:val="00FD2964"/>
    <w:rsid w:val="00FD2C8C"/>
    <w:rsid w:val="00FD33EF"/>
    <w:rsid w:val="00FD5EAD"/>
    <w:rsid w:val="00FD72B4"/>
    <w:rsid w:val="00FD73DE"/>
    <w:rsid w:val="00FE03E1"/>
    <w:rsid w:val="00FE13FD"/>
    <w:rsid w:val="00FE348D"/>
    <w:rsid w:val="00FE49DC"/>
    <w:rsid w:val="00FE7E68"/>
    <w:rsid w:val="00FF3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 w:type="paragraph" w:styleId="ae">
    <w:name w:val="List Paragraph"/>
    <w:basedOn w:val="a"/>
    <w:uiPriority w:val="34"/>
    <w:qFormat/>
    <w:rsid w:val="00C45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FF29F-87DB-429F-B635-2E085A4E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1088</Words>
  <Characters>6208</Characters>
  <Application>Microsoft Office Word</Application>
  <DocSecurity>0</DocSecurity>
  <Lines>51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В. Васильченко</cp:lastModifiedBy>
  <cp:revision>114</cp:revision>
  <dcterms:created xsi:type="dcterms:W3CDTF">2024-04-11T12:59:00Z</dcterms:created>
  <dcterms:modified xsi:type="dcterms:W3CDTF">2024-04-15T12:34:00Z</dcterms:modified>
</cp:coreProperties>
</file>