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5DCA9" w14:textId="3501D716" w:rsidR="00611A93" w:rsidRDefault="006A7A76" w:rsidP="006A7A76">
      <w:pPr>
        <w:ind w:firstLine="709"/>
        <w:jc w:val="both"/>
        <w:rPr>
          <w:rFonts w:ascii="Times New Roman" w:hAnsi="Times New Roman" w:cs="Times New Roman"/>
          <w:b/>
          <w:bCs/>
          <w:sz w:val="28"/>
          <w:szCs w:val="28"/>
          <w:lang w:val="en-US"/>
        </w:rPr>
      </w:pPr>
      <w:proofErr w:type="gramStart"/>
      <w:r>
        <w:rPr>
          <w:rFonts w:ascii="Times New Roman" w:hAnsi="Times New Roman" w:cs="Times New Roman"/>
          <w:b/>
          <w:bCs/>
          <w:sz w:val="28"/>
          <w:szCs w:val="28"/>
          <w:lang w:val="en-US"/>
        </w:rPr>
        <w:t xml:space="preserve">Summary to the </w:t>
      </w:r>
      <w:r w:rsidR="00611A93" w:rsidRPr="006A7A76">
        <w:rPr>
          <w:rFonts w:ascii="Times New Roman" w:hAnsi="Times New Roman" w:cs="Times New Roman"/>
          <w:b/>
          <w:bCs/>
          <w:sz w:val="28"/>
          <w:szCs w:val="28"/>
          <w:lang w:val="en-US"/>
        </w:rPr>
        <w:t>Decision of the Second Senate of the Constitutional Court of Ukraine No. 5-r(II)/2022 of June 22, 2022</w:t>
      </w:r>
      <w:r w:rsidR="00594FAB">
        <w:rPr>
          <w:rFonts w:ascii="Times New Roman" w:hAnsi="Times New Roman" w:cs="Times New Roman"/>
          <w:b/>
          <w:bCs/>
          <w:sz w:val="28"/>
          <w:szCs w:val="28"/>
          <w:lang w:val="en-US"/>
        </w:rPr>
        <w:t xml:space="preserve"> in the case upon the constitutional complaint of Oleksiy </w:t>
      </w:r>
      <w:proofErr w:type="spellStart"/>
      <w:r w:rsidR="00594FAB">
        <w:rPr>
          <w:rFonts w:ascii="Times New Roman" w:hAnsi="Times New Roman" w:cs="Times New Roman"/>
          <w:b/>
          <w:bCs/>
          <w:sz w:val="28"/>
          <w:szCs w:val="28"/>
          <w:lang w:val="en-US"/>
        </w:rPr>
        <w:t>Abramovych</w:t>
      </w:r>
      <w:proofErr w:type="spellEnd"/>
      <w:r w:rsidR="00594FAB">
        <w:rPr>
          <w:rFonts w:ascii="Times New Roman" w:hAnsi="Times New Roman" w:cs="Times New Roman"/>
          <w:b/>
          <w:bCs/>
          <w:sz w:val="28"/>
          <w:szCs w:val="28"/>
          <w:lang w:val="en-US"/>
        </w:rPr>
        <w:t xml:space="preserve"> on conformity of Article 40.2.2 of the Housing Code of Ukraine with the Constitution of Ukraine (the case on the discrimination in the implementation of the right to housing)</w:t>
      </w:r>
      <w:proofErr w:type="gramEnd"/>
    </w:p>
    <w:p w14:paraId="44F7C7C8" w14:textId="70B80CC9" w:rsidR="00611A93" w:rsidRPr="006A7A76" w:rsidRDefault="00611A93" w:rsidP="006A7A76">
      <w:pPr>
        <w:ind w:firstLine="709"/>
        <w:jc w:val="both"/>
        <w:rPr>
          <w:rFonts w:ascii="Times New Roman" w:hAnsi="Times New Roman" w:cs="Times New Roman"/>
          <w:b/>
          <w:bCs/>
          <w:sz w:val="28"/>
          <w:szCs w:val="28"/>
          <w:lang w:val="en-US"/>
        </w:rPr>
      </w:pPr>
    </w:p>
    <w:p w14:paraId="2963D38B" w14:textId="54CB2EB8" w:rsidR="00611A93" w:rsidRPr="006A7A76" w:rsidRDefault="00771DA2" w:rsidP="006A7A76">
      <w:pPr>
        <w:ind w:firstLine="709"/>
        <w:jc w:val="both"/>
        <w:rPr>
          <w:rFonts w:ascii="Times New Roman" w:hAnsi="Times New Roman" w:cs="Times New Roman"/>
          <w:sz w:val="28"/>
          <w:szCs w:val="28"/>
          <w:lang w:val="en-US"/>
        </w:rPr>
      </w:pPr>
      <w:proofErr w:type="spellStart"/>
      <w:r w:rsidRPr="006A7A76">
        <w:rPr>
          <w:rFonts w:ascii="Times New Roman" w:hAnsi="Times New Roman" w:cs="Times New Roman"/>
          <w:sz w:val="28"/>
          <w:szCs w:val="28"/>
          <w:lang w:val="en-US"/>
        </w:rPr>
        <w:t>Abramovych</w:t>
      </w:r>
      <w:proofErr w:type="spellEnd"/>
      <w:r w:rsidRPr="006A7A76">
        <w:rPr>
          <w:rFonts w:ascii="Times New Roman" w:hAnsi="Times New Roman" w:cs="Times New Roman"/>
          <w:sz w:val="28"/>
          <w:szCs w:val="28"/>
          <w:lang w:val="en-US"/>
        </w:rPr>
        <w:t xml:space="preserve"> O.V. appealed to the Constitutional Court with a request to consider the issue of compliance </w:t>
      </w:r>
      <w:r w:rsidR="00594FAB" w:rsidRPr="006A7A76">
        <w:rPr>
          <w:rFonts w:ascii="Times New Roman" w:hAnsi="Times New Roman" w:cs="Times New Roman"/>
          <w:sz w:val="28"/>
          <w:szCs w:val="28"/>
          <w:lang w:val="en-US"/>
        </w:rPr>
        <w:t>of Article 40.2.2 of the Housing Code of the Ukrainian SSR, according to which citizens who need to improve their living conditions are deregistered in case they “are leaving for permanent residence to another locality”</w:t>
      </w:r>
      <w:r w:rsidR="00594FAB">
        <w:rPr>
          <w:rFonts w:ascii="Times New Roman" w:hAnsi="Times New Roman" w:cs="Times New Roman"/>
          <w:sz w:val="28"/>
          <w:szCs w:val="28"/>
          <w:lang w:val="en-US"/>
        </w:rPr>
        <w:t xml:space="preserve"> </w:t>
      </w:r>
      <w:r w:rsidRPr="006A7A76">
        <w:rPr>
          <w:rFonts w:ascii="Times New Roman" w:hAnsi="Times New Roman" w:cs="Times New Roman"/>
          <w:sz w:val="28"/>
          <w:szCs w:val="28"/>
          <w:lang w:val="en-US"/>
        </w:rPr>
        <w:t>with Articles 24.2</w:t>
      </w:r>
      <w:r w:rsidR="00594FAB">
        <w:rPr>
          <w:rFonts w:ascii="Times New Roman" w:hAnsi="Times New Roman" w:cs="Times New Roman"/>
          <w:sz w:val="28"/>
          <w:szCs w:val="28"/>
          <w:lang w:val="en-US"/>
        </w:rPr>
        <w:t xml:space="preserve"> and</w:t>
      </w:r>
      <w:r w:rsidRPr="006A7A76">
        <w:rPr>
          <w:rFonts w:ascii="Times New Roman" w:hAnsi="Times New Roman" w:cs="Times New Roman"/>
          <w:sz w:val="28"/>
          <w:szCs w:val="28"/>
          <w:lang w:val="en-US"/>
        </w:rPr>
        <w:t xml:space="preserve"> 47.2 of the C</w:t>
      </w:r>
      <w:r w:rsidR="00594FAB">
        <w:rPr>
          <w:rFonts w:ascii="Times New Roman" w:hAnsi="Times New Roman" w:cs="Times New Roman"/>
          <w:sz w:val="28"/>
          <w:szCs w:val="28"/>
          <w:lang w:val="en-US"/>
        </w:rPr>
        <w:t>onstitution.</w:t>
      </w:r>
    </w:p>
    <w:p w14:paraId="3FDBEB63" w14:textId="61133175" w:rsidR="007422D7" w:rsidRPr="006A7A76" w:rsidRDefault="007422D7" w:rsidP="006A7A76">
      <w:pPr>
        <w:ind w:firstLine="709"/>
        <w:jc w:val="both"/>
        <w:rPr>
          <w:rFonts w:ascii="Times New Roman" w:hAnsi="Times New Roman" w:cs="Times New Roman"/>
          <w:sz w:val="28"/>
          <w:szCs w:val="28"/>
          <w:lang w:val="en-US"/>
        </w:rPr>
      </w:pPr>
      <w:r w:rsidRPr="006A7A76">
        <w:rPr>
          <w:rFonts w:ascii="Times New Roman" w:hAnsi="Times New Roman" w:cs="Times New Roman"/>
          <w:sz w:val="28"/>
          <w:szCs w:val="28"/>
          <w:lang w:val="en-US"/>
        </w:rPr>
        <w:t xml:space="preserve">During the consideration of this case by the Constitutional Court, the Housing Code of Ukrainian SSR was amended by the Law of Ukraine </w:t>
      </w:r>
      <w:r w:rsidR="000F2646">
        <w:rPr>
          <w:rFonts w:ascii="Times New Roman" w:hAnsi="Times New Roman" w:cs="Times New Roman"/>
          <w:sz w:val="28"/>
          <w:szCs w:val="28"/>
          <w:lang w:val="en-US"/>
        </w:rPr>
        <w:t>“</w:t>
      </w:r>
      <w:r w:rsidRPr="006A7A76">
        <w:rPr>
          <w:rFonts w:ascii="Times New Roman" w:hAnsi="Times New Roman" w:cs="Times New Roman"/>
          <w:sz w:val="28"/>
          <w:szCs w:val="28"/>
          <w:lang w:val="en-US"/>
        </w:rPr>
        <w:t>On the De-</w:t>
      </w:r>
      <w:proofErr w:type="spellStart"/>
      <w:r w:rsidRPr="006A7A76">
        <w:rPr>
          <w:rFonts w:ascii="Times New Roman" w:hAnsi="Times New Roman" w:cs="Times New Roman"/>
          <w:sz w:val="28"/>
          <w:szCs w:val="28"/>
          <w:lang w:val="en-US"/>
        </w:rPr>
        <w:t>Sovieti</w:t>
      </w:r>
      <w:r w:rsidR="00594FAB">
        <w:rPr>
          <w:rFonts w:ascii="Times New Roman" w:hAnsi="Times New Roman" w:cs="Times New Roman"/>
          <w:sz w:val="28"/>
          <w:szCs w:val="28"/>
          <w:lang w:val="en-US"/>
        </w:rPr>
        <w:t>s</w:t>
      </w:r>
      <w:r w:rsidRPr="006A7A76">
        <w:rPr>
          <w:rFonts w:ascii="Times New Roman" w:hAnsi="Times New Roman" w:cs="Times New Roman"/>
          <w:sz w:val="28"/>
          <w:szCs w:val="28"/>
          <w:lang w:val="en-US"/>
        </w:rPr>
        <w:t>ation</w:t>
      </w:r>
      <w:proofErr w:type="spellEnd"/>
      <w:r w:rsidRPr="006A7A76">
        <w:rPr>
          <w:rFonts w:ascii="Times New Roman" w:hAnsi="Times New Roman" w:cs="Times New Roman"/>
          <w:sz w:val="28"/>
          <w:szCs w:val="28"/>
          <w:lang w:val="en-US"/>
        </w:rPr>
        <w:t xml:space="preserve"> of the Legislation of Ukraine</w:t>
      </w:r>
      <w:r w:rsidR="000F2646">
        <w:rPr>
          <w:rFonts w:ascii="Times New Roman" w:hAnsi="Times New Roman" w:cs="Times New Roman"/>
          <w:sz w:val="28"/>
          <w:szCs w:val="28"/>
          <w:lang w:val="en-US"/>
        </w:rPr>
        <w:t>”</w:t>
      </w:r>
      <w:r w:rsidRPr="006A7A76">
        <w:rPr>
          <w:rFonts w:ascii="Times New Roman" w:hAnsi="Times New Roman" w:cs="Times New Roman"/>
          <w:sz w:val="28"/>
          <w:szCs w:val="28"/>
          <w:lang w:val="en-US"/>
        </w:rPr>
        <w:t xml:space="preserve"> of April 21, 2022, No. 2215-IX, which entered into force on May 7, 2022. In particular, the name of the Housing Code of Ukrainian SSR is set out in a new edition</w:t>
      </w:r>
      <w:r w:rsidR="000F2646">
        <w:rPr>
          <w:rFonts w:ascii="Times New Roman" w:hAnsi="Times New Roman" w:cs="Times New Roman"/>
          <w:sz w:val="28"/>
          <w:szCs w:val="28"/>
          <w:lang w:val="en-US"/>
        </w:rPr>
        <w:t>,</w:t>
      </w:r>
      <w:r w:rsidRPr="006A7A76">
        <w:rPr>
          <w:rFonts w:ascii="Times New Roman" w:hAnsi="Times New Roman" w:cs="Times New Roman"/>
          <w:sz w:val="28"/>
          <w:szCs w:val="28"/>
          <w:lang w:val="en-US"/>
        </w:rPr>
        <w:t xml:space="preserve"> the Housing Code (hereinafter referred to as the Code). The Constitutional Court considers that the introduction of this change does not affect the essence of the impugned provision of the Code, and</w:t>
      </w:r>
      <w:r w:rsidR="000F2646">
        <w:rPr>
          <w:rFonts w:ascii="Times New Roman" w:hAnsi="Times New Roman" w:cs="Times New Roman"/>
          <w:sz w:val="28"/>
          <w:szCs w:val="28"/>
          <w:lang w:val="en-US"/>
        </w:rPr>
        <w:t>,</w:t>
      </w:r>
      <w:r w:rsidRPr="006A7A76">
        <w:rPr>
          <w:rFonts w:ascii="Times New Roman" w:hAnsi="Times New Roman" w:cs="Times New Roman"/>
          <w:sz w:val="28"/>
          <w:szCs w:val="28"/>
          <w:lang w:val="en-US"/>
        </w:rPr>
        <w:t xml:space="preserve"> therefore, there is no any effect on the subject of constitutional control in this case.</w:t>
      </w:r>
    </w:p>
    <w:p w14:paraId="7953B1A9" w14:textId="76EAEFC3" w:rsidR="00997069" w:rsidRPr="006A7A76" w:rsidRDefault="00997069" w:rsidP="006A7A76">
      <w:pPr>
        <w:ind w:firstLine="709"/>
        <w:jc w:val="both"/>
        <w:rPr>
          <w:rFonts w:ascii="Times New Roman" w:hAnsi="Times New Roman" w:cs="Times New Roman"/>
          <w:sz w:val="28"/>
          <w:szCs w:val="28"/>
          <w:lang w:val="en-US"/>
        </w:rPr>
      </w:pPr>
      <w:r w:rsidRPr="006A7A76">
        <w:rPr>
          <w:rFonts w:ascii="Times New Roman" w:hAnsi="Times New Roman" w:cs="Times New Roman"/>
          <w:sz w:val="28"/>
          <w:szCs w:val="28"/>
          <w:lang w:val="en-US"/>
        </w:rPr>
        <w:t>The Constitutional Court assumes that the principle of the welfare state (Article 1), the principle of protection of human rights (Article 3.2), the principle of equality (Articles 21, 24.1, 24.2) that are established by the Constitution, are relevant in this case.</w:t>
      </w:r>
    </w:p>
    <w:p w14:paraId="6166F910" w14:textId="4479F742" w:rsidR="007422D7" w:rsidRPr="006A7A76" w:rsidRDefault="00997069" w:rsidP="006A7A76">
      <w:pPr>
        <w:ind w:firstLine="709"/>
        <w:jc w:val="both"/>
        <w:rPr>
          <w:rFonts w:ascii="Times New Roman" w:hAnsi="Times New Roman" w:cs="Times New Roman"/>
          <w:sz w:val="28"/>
          <w:szCs w:val="28"/>
          <w:lang w:val="en-US"/>
        </w:rPr>
      </w:pPr>
      <w:r w:rsidRPr="006A7A76">
        <w:rPr>
          <w:rFonts w:ascii="Times New Roman" w:hAnsi="Times New Roman" w:cs="Times New Roman"/>
          <w:sz w:val="28"/>
          <w:szCs w:val="28"/>
          <w:lang w:val="en-US"/>
        </w:rPr>
        <w:t>The Constitutional Court notes that the human rights and freedoms guaranteed by the Constitution are not limited to those contained in the text of the Basic Law.</w:t>
      </w:r>
    </w:p>
    <w:p w14:paraId="160F68DC" w14:textId="19F2FF91" w:rsidR="00997069" w:rsidRPr="006A7A76" w:rsidRDefault="00A1735D" w:rsidP="006A7A76">
      <w:pPr>
        <w:ind w:firstLine="709"/>
        <w:jc w:val="both"/>
        <w:rPr>
          <w:rFonts w:ascii="Times New Roman" w:hAnsi="Times New Roman" w:cs="Times New Roman"/>
          <w:sz w:val="28"/>
          <w:szCs w:val="28"/>
          <w:lang w:val="en-US"/>
        </w:rPr>
      </w:pPr>
      <w:r w:rsidRPr="006A7A76">
        <w:rPr>
          <w:rFonts w:ascii="Times New Roman" w:hAnsi="Times New Roman" w:cs="Times New Roman"/>
          <w:sz w:val="28"/>
          <w:szCs w:val="28"/>
          <w:lang w:val="en-US"/>
        </w:rPr>
        <w:t xml:space="preserve">The Constitutional Court came to the conclusion that the freedom (liberty) of a person is </w:t>
      </w:r>
      <w:r w:rsidRPr="006A7A76">
        <w:rPr>
          <w:rFonts w:ascii="Times New Roman" w:hAnsi="Times New Roman" w:cs="Times New Roman"/>
          <w:i/>
          <w:iCs/>
          <w:sz w:val="28"/>
          <w:szCs w:val="28"/>
          <w:lang w:val="en-US"/>
        </w:rPr>
        <w:t>a priori</w:t>
      </w:r>
      <w:r w:rsidRPr="006A7A76">
        <w:rPr>
          <w:rFonts w:ascii="Times New Roman" w:hAnsi="Times New Roman" w:cs="Times New Roman"/>
          <w:sz w:val="28"/>
          <w:szCs w:val="28"/>
          <w:lang w:val="en-US"/>
        </w:rPr>
        <w:t xml:space="preserve"> determining and of key priority for respect by the state as a whole, state authorities, local governments, and other subjects. The Constitutional Court is guided by the fact that the constitutional presumption of human freedom necessitates the justification of any significant restriction from the state.</w:t>
      </w:r>
    </w:p>
    <w:p w14:paraId="2601FE33" w14:textId="77777777" w:rsidR="00F62E04" w:rsidRPr="006A7A76" w:rsidRDefault="00F62E04" w:rsidP="006A7A76">
      <w:pPr>
        <w:ind w:firstLine="709"/>
        <w:jc w:val="both"/>
        <w:rPr>
          <w:rFonts w:ascii="Times New Roman" w:hAnsi="Times New Roman" w:cs="Times New Roman"/>
          <w:sz w:val="28"/>
          <w:szCs w:val="28"/>
          <w:lang w:val="en-US"/>
        </w:rPr>
      </w:pPr>
      <w:r w:rsidRPr="006A7A76">
        <w:rPr>
          <w:rFonts w:ascii="Times New Roman" w:hAnsi="Times New Roman" w:cs="Times New Roman"/>
          <w:sz w:val="28"/>
          <w:szCs w:val="28"/>
          <w:lang w:val="en-US"/>
        </w:rPr>
        <w:t>The right to housing, guaranteed by Article 47 of the Constitution, is linked to the right to an adequate standard of living (Article 48 of the Constitution), which, in addition to adequate food and clothing, also includes adequate housing for everyone.</w:t>
      </w:r>
    </w:p>
    <w:p w14:paraId="1A4317AC" w14:textId="6D1B900A" w:rsidR="00192F87" w:rsidRPr="006A7A76" w:rsidRDefault="00F62E04" w:rsidP="006A7A76">
      <w:pPr>
        <w:ind w:firstLine="709"/>
        <w:jc w:val="both"/>
        <w:rPr>
          <w:rFonts w:ascii="Times New Roman" w:hAnsi="Times New Roman" w:cs="Times New Roman"/>
          <w:sz w:val="28"/>
          <w:szCs w:val="28"/>
          <w:lang w:val="en-US"/>
        </w:rPr>
      </w:pPr>
      <w:r w:rsidRPr="006A7A76">
        <w:rPr>
          <w:rFonts w:ascii="Times New Roman" w:hAnsi="Times New Roman" w:cs="Times New Roman"/>
          <w:sz w:val="28"/>
          <w:szCs w:val="28"/>
          <w:lang w:val="en-US"/>
        </w:rPr>
        <w:t xml:space="preserve">The right to housing, guaranteed by Article 47 of the Constitution, is the corollary of the right of everyone to an adequate standard of living (Article 48 of the Basic Law), since housing can only be </w:t>
      </w:r>
      <w:proofErr w:type="spellStart"/>
      <w:r w:rsidRPr="006A7A76">
        <w:rPr>
          <w:rFonts w:ascii="Times New Roman" w:hAnsi="Times New Roman" w:cs="Times New Roman"/>
          <w:sz w:val="28"/>
          <w:szCs w:val="28"/>
          <w:lang w:val="en-US"/>
        </w:rPr>
        <w:t>recogni</w:t>
      </w:r>
      <w:r w:rsidR="00594FAB">
        <w:rPr>
          <w:rFonts w:ascii="Times New Roman" w:hAnsi="Times New Roman" w:cs="Times New Roman"/>
          <w:sz w:val="28"/>
          <w:szCs w:val="28"/>
          <w:lang w:val="en-US"/>
        </w:rPr>
        <w:t>s</w:t>
      </w:r>
      <w:r w:rsidRPr="006A7A76">
        <w:rPr>
          <w:rFonts w:ascii="Times New Roman" w:hAnsi="Times New Roman" w:cs="Times New Roman"/>
          <w:sz w:val="28"/>
          <w:szCs w:val="28"/>
          <w:lang w:val="en-US"/>
        </w:rPr>
        <w:t>ed</w:t>
      </w:r>
      <w:proofErr w:type="spellEnd"/>
      <w:r w:rsidRPr="006A7A76">
        <w:rPr>
          <w:rFonts w:ascii="Times New Roman" w:hAnsi="Times New Roman" w:cs="Times New Roman"/>
          <w:sz w:val="28"/>
          <w:szCs w:val="28"/>
          <w:lang w:val="en-US"/>
        </w:rPr>
        <w:t xml:space="preserve"> as such living conditions for an individual that provide him/her with the opportunity to be in safety, peace and dignity.</w:t>
      </w:r>
    </w:p>
    <w:p w14:paraId="68172FBF" w14:textId="07E091B5" w:rsidR="00E54129" w:rsidRPr="006A7A76" w:rsidRDefault="00E54129" w:rsidP="006A7A76">
      <w:pPr>
        <w:ind w:firstLine="709"/>
        <w:jc w:val="both"/>
        <w:rPr>
          <w:rFonts w:ascii="Times New Roman" w:hAnsi="Times New Roman" w:cs="Times New Roman"/>
          <w:sz w:val="28"/>
          <w:szCs w:val="28"/>
          <w:lang w:val="en-US"/>
        </w:rPr>
      </w:pPr>
      <w:r w:rsidRPr="006A7A76">
        <w:rPr>
          <w:rFonts w:ascii="Times New Roman" w:hAnsi="Times New Roman" w:cs="Times New Roman"/>
          <w:sz w:val="28"/>
          <w:szCs w:val="28"/>
          <w:lang w:val="en-US"/>
        </w:rPr>
        <w:lastRenderedPageBreak/>
        <w:t xml:space="preserve">The Constitutional Court </w:t>
      </w:r>
      <w:proofErr w:type="spellStart"/>
      <w:r w:rsidRPr="006A7A76">
        <w:rPr>
          <w:rFonts w:ascii="Times New Roman" w:hAnsi="Times New Roman" w:cs="Times New Roman"/>
          <w:sz w:val="28"/>
          <w:szCs w:val="28"/>
          <w:lang w:val="en-US"/>
        </w:rPr>
        <w:t>emphasi</w:t>
      </w:r>
      <w:r w:rsidR="00594FAB">
        <w:rPr>
          <w:rFonts w:ascii="Times New Roman" w:hAnsi="Times New Roman" w:cs="Times New Roman"/>
          <w:sz w:val="28"/>
          <w:szCs w:val="28"/>
          <w:lang w:val="en-US"/>
        </w:rPr>
        <w:t>s</w:t>
      </w:r>
      <w:r w:rsidRPr="006A7A76">
        <w:rPr>
          <w:rFonts w:ascii="Times New Roman" w:hAnsi="Times New Roman" w:cs="Times New Roman"/>
          <w:sz w:val="28"/>
          <w:szCs w:val="28"/>
          <w:lang w:val="en-US"/>
        </w:rPr>
        <w:t>es</w:t>
      </w:r>
      <w:proofErr w:type="spellEnd"/>
      <w:r w:rsidRPr="006A7A76">
        <w:rPr>
          <w:rFonts w:ascii="Times New Roman" w:hAnsi="Times New Roman" w:cs="Times New Roman"/>
          <w:sz w:val="28"/>
          <w:szCs w:val="28"/>
          <w:lang w:val="en-US"/>
        </w:rPr>
        <w:t xml:space="preserve"> on the particularly strong links between the constitutionally guaranteed right to housing, on the one hand, and the freedom of movement and free choice of residence (Article 33.1), on the other.</w:t>
      </w:r>
    </w:p>
    <w:p w14:paraId="3B74599A" w14:textId="348DB7B9" w:rsidR="00F62E04" w:rsidRPr="006A7A76" w:rsidRDefault="00E54129" w:rsidP="006A7A76">
      <w:pPr>
        <w:ind w:firstLine="709"/>
        <w:jc w:val="both"/>
        <w:rPr>
          <w:rFonts w:ascii="Times New Roman" w:hAnsi="Times New Roman" w:cs="Times New Roman"/>
          <w:sz w:val="28"/>
          <w:szCs w:val="28"/>
          <w:lang w:val="en-US"/>
        </w:rPr>
      </w:pPr>
      <w:r w:rsidRPr="006A7A76">
        <w:rPr>
          <w:rFonts w:ascii="Times New Roman" w:hAnsi="Times New Roman" w:cs="Times New Roman"/>
          <w:sz w:val="28"/>
          <w:szCs w:val="28"/>
          <w:lang w:val="en-US"/>
        </w:rPr>
        <w:t>An individual, exercising his/her constitutional rights and freedoms, may have several places of residence, including in several localities, and this cannot lead to an obstacle to the effective implementation of other constitutional rights.</w:t>
      </w:r>
    </w:p>
    <w:p w14:paraId="02465143" w14:textId="7EF5847C" w:rsidR="00DE0673" w:rsidRPr="006A7A76" w:rsidRDefault="00DE0673" w:rsidP="006A7A76">
      <w:pPr>
        <w:ind w:firstLine="709"/>
        <w:jc w:val="both"/>
        <w:rPr>
          <w:rFonts w:ascii="Times New Roman" w:hAnsi="Times New Roman" w:cs="Times New Roman"/>
          <w:sz w:val="28"/>
          <w:szCs w:val="28"/>
        </w:rPr>
      </w:pPr>
      <w:r w:rsidRPr="006A7A76">
        <w:rPr>
          <w:rFonts w:ascii="Times New Roman" w:hAnsi="Times New Roman" w:cs="Times New Roman"/>
          <w:sz w:val="28"/>
          <w:szCs w:val="28"/>
        </w:rPr>
        <w:t xml:space="preserve">The Constitutional Court draws attention to the constitutional significance, content and the scope of the principles of equality, prohibition of discrimination, observance of human rights and freedoms, particularly, the protection of the right to housing, freedom of movement, in the light of common European values. In addition to the Code, the legislator regulated the issue of the exercise of the constitutional right to housing by citizens, that are in need of social protection, by the Law </w:t>
      </w:r>
      <w:r w:rsidR="00DA106B">
        <w:rPr>
          <w:rFonts w:ascii="Times New Roman" w:hAnsi="Times New Roman" w:cs="Times New Roman"/>
          <w:sz w:val="28"/>
          <w:szCs w:val="28"/>
          <w:lang w:val="en-US"/>
        </w:rPr>
        <w:t>“</w:t>
      </w:r>
      <w:r w:rsidRPr="006A7A76">
        <w:rPr>
          <w:rFonts w:ascii="Times New Roman" w:hAnsi="Times New Roman" w:cs="Times New Roman"/>
          <w:sz w:val="28"/>
          <w:szCs w:val="28"/>
        </w:rPr>
        <w:t>On Social Housing</w:t>
      </w:r>
      <w:r w:rsidR="00DA106B">
        <w:rPr>
          <w:rFonts w:ascii="Times New Roman" w:hAnsi="Times New Roman" w:cs="Times New Roman"/>
          <w:sz w:val="28"/>
          <w:szCs w:val="28"/>
          <w:lang w:val="en-US"/>
        </w:rPr>
        <w:t>”</w:t>
      </w:r>
      <w:r w:rsidRPr="006A7A76">
        <w:rPr>
          <w:rFonts w:ascii="Times New Roman" w:hAnsi="Times New Roman" w:cs="Times New Roman"/>
          <w:sz w:val="28"/>
          <w:szCs w:val="28"/>
        </w:rPr>
        <w:t xml:space="preserve">, which is a special legislative act in this matter in the context of lex </w:t>
      </w:r>
      <w:r w:rsidRPr="006A7A76">
        <w:rPr>
          <w:rFonts w:ascii="Times New Roman" w:hAnsi="Times New Roman" w:cs="Times New Roman"/>
          <w:i/>
          <w:iCs/>
          <w:sz w:val="28"/>
          <w:szCs w:val="28"/>
        </w:rPr>
        <w:t>specialis derogat generali</w:t>
      </w:r>
      <w:r w:rsidRPr="006A7A76">
        <w:rPr>
          <w:rFonts w:ascii="Times New Roman" w:hAnsi="Times New Roman" w:cs="Times New Roman"/>
          <w:sz w:val="28"/>
          <w:szCs w:val="28"/>
        </w:rPr>
        <w:t>.</w:t>
      </w:r>
    </w:p>
    <w:p w14:paraId="16A3766D" w14:textId="28861D1B" w:rsidR="0063377B" w:rsidRPr="006A7A76" w:rsidRDefault="00BA15AB" w:rsidP="006A7A76">
      <w:pPr>
        <w:ind w:firstLine="709"/>
        <w:jc w:val="both"/>
        <w:rPr>
          <w:rFonts w:ascii="Times New Roman" w:hAnsi="Times New Roman" w:cs="Times New Roman"/>
          <w:sz w:val="28"/>
          <w:szCs w:val="28"/>
        </w:rPr>
      </w:pPr>
      <w:r w:rsidRPr="006A7A76">
        <w:rPr>
          <w:rFonts w:ascii="Times New Roman" w:hAnsi="Times New Roman" w:cs="Times New Roman"/>
          <w:sz w:val="28"/>
          <w:szCs w:val="28"/>
        </w:rPr>
        <w:t>The impugned provision of Article 40 of the Code regarding the deregistration of citizens</w:t>
      </w:r>
      <w:r w:rsidR="0043601A">
        <w:rPr>
          <w:rFonts w:ascii="Times New Roman" w:hAnsi="Times New Roman" w:cs="Times New Roman"/>
          <w:sz w:val="28"/>
          <w:szCs w:val="28"/>
          <w:lang w:val="en-US"/>
        </w:rPr>
        <w:t>,</w:t>
      </w:r>
      <w:r w:rsidRPr="006A7A76">
        <w:rPr>
          <w:rFonts w:ascii="Times New Roman" w:hAnsi="Times New Roman" w:cs="Times New Roman"/>
          <w:sz w:val="28"/>
          <w:szCs w:val="28"/>
        </w:rPr>
        <w:t xml:space="preserve"> that are in need of better housing conditions</w:t>
      </w:r>
      <w:r w:rsidR="0043601A">
        <w:rPr>
          <w:rFonts w:ascii="Times New Roman" w:hAnsi="Times New Roman" w:cs="Times New Roman"/>
          <w:sz w:val="28"/>
          <w:szCs w:val="28"/>
          <w:lang w:val="en-US"/>
        </w:rPr>
        <w:t>,</w:t>
      </w:r>
      <w:r w:rsidRPr="006A7A76">
        <w:rPr>
          <w:rFonts w:ascii="Times New Roman" w:hAnsi="Times New Roman" w:cs="Times New Roman"/>
          <w:sz w:val="28"/>
          <w:szCs w:val="28"/>
        </w:rPr>
        <w:t xml:space="preserve"> on the basis of “leaving for permanent residence to another locality” is separate from the content of the special legislative regulation on the exercise of the right to housing by citizens that are in need of social protection, on the argumentation, specified in the constitutional complaint, cannot be declared as contrary to the provision enshrined in Article 47.2 of the Constitution.</w:t>
      </w:r>
    </w:p>
    <w:p w14:paraId="47BCD5D0" w14:textId="4E7DBD56" w:rsidR="00103CE0" w:rsidRPr="006A7A76" w:rsidRDefault="00103CE0" w:rsidP="006A7A76">
      <w:pPr>
        <w:ind w:firstLine="709"/>
        <w:jc w:val="both"/>
        <w:rPr>
          <w:rFonts w:ascii="Times New Roman" w:hAnsi="Times New Roman" w:cs="Times New Roman"/>
          <w:sz w:val="28"/>
          <w:szCs w:val="28"/>
        </w:rPr>
      </w:pPr>
      <w:r w:rsidRPr="006A7A76">
        <w:rPr>
          <w:rFonts w:ascii="Times New Roman" w:hAnsi="Times New Roman" w:cs="Times New Roman"/>
          <w:sz w:val="28"/>
          <w:szCs w:val="28"/>
        </w:rPr>
        <w:t>The Constitutional Court concluded that the legislator</w:t>
      </w:r>
      <w:r w:rsidR="00594FAB">
        <w:rPr>
          <w:rFonts w:ascii="Times New Roman" w:hAnsi="Times New Roman" w:cs="Times New Roman"/>
          <w:sz w:val="28"/>
          <w:szCs w:val="28"/>
          <w:lang w:val="en-US"/>
        </w:rPr>
        <w:t>,</w:t>
      </w:r>
      <w:r w:rsidRPr="006A7A76">
        <w:rPr>
          <w:rFonts w:ascii="Times New Roman" w:hAnsi="Times New Roman" w:cs="Times New Roman"/>
          <w:sz w:val="28"/>
          <w:szCs w:val="28"/>
        </w:rPr>
        <w:t xml:space="preserve"> in Article 40.2.2 of the Code</w:t>
      </w:r>
      <w:r w:rsidR="00594FAB">
        <w:rPr>
          <w:rFonts w:ascii="Times New Roman" w:hAnsi="Times New Roman" w:cs="Times New Roman"/>
          <w:sz w:val="28"/>
          <w:szCs w:val="28"/>
          <w:lang w:val="en-US"/>
        </w:rPr>
        <w:t>,</w:t>
      </w:r>
      <w:r w:rsidRPr="006A7A76">
        <w:rPr>
          <w:rFonts w:ascii="Times New Roman" w:hAnsi="Times New Roman" w:cs="Times New Roman"/>
          <w:sz w:val="28"/>
          <w:szCs w:val="28"/>
        </w:rPr>
        <w:t xml:space="preserve"> </w:t>
      </w:r>
      <w:r w:rsidR="00594FAB">
        <w:rPr>
          <w:rFonts w:ascii="Times New Roman" w:hAnsi="Times New Roman" w:cs="Times New Roman"/>
          <w:sz w:val="28"/>
          <w:szCs w:val="28"/>
          <w:lang w:val="en-US"/>
        </w:rPr>
        <w:t xml:space="preserve">had </w:t>
      </w:r>
      <w:r w:rsidRPr="006A7A76">
        <w:rPr>
          <w:rFonts w:ascii="Times New Roman" w:hAnsi="Times New Roman" w:cs="Times New Roman"/>
          <w:sz w:val="28"/>
          <w:szCs w:val="28"/>
        </w:rPr>
        <w:t>violated the constitutional prohibition on privileges or restrictions established in Article 24.2 of the Basic Law.</w:t>
      </w:r>
    </w:p>
    <w:p w14:paraId="6579D2E3" w14:textId="72F5DFC2" w:rsidR="00BA15AB" w:rsidRPr="006A7A76" w:rsidRDefault="00103CE0" w:rsidP="006A7A76">
      <w:pPr>
        <w:ind w:firstLine="709"/>
        <w:jc w:val="both"/>
        <w:rPr>
          <w:rFonts w:ascii="Times New Roman" w:hAnsi="Times New Roman" w:cs="Times New Roman"/>
          <w:sz w:val="28"/>
          <w:szCs w:val="28"/>
        </w:rPr>
      </w:pPr>
      <w:r w:rsidRPr="006A7A76">
        <w:rPr>
          <w:rFonts w:ascii="Times New Roman" w:hAnsi="Times New Roman" w:cs="Times New Roman"/>
          <w:sz w:val="28"/>
          <w:szCs w:val="28"/>
        </w:rPr>
        <w:t xml:space="preserve">The Constitutional Court notes that the restriction of the constitutional freedom of movement, free choice of place of residence, which is stipulated in Article 40.2.2 of the Code, is deprived of a legitimate </w:t>
      </w:r>
      <w:r w:rsidR="00594FAB">
        <w:rPr>
          <w:rFonts w:ascii="Times New Roman" w:hAnsi="Times New Roman" w:cs="Times New Roman"/>
          <w:sz w:val="28"/>
          <w:szCs w:val="28"/>
          <w:lang w:val="en-US"/>
        </w:rPr>
        <w:t xml:space="preserve">aim </w:t>
      </w:r>
      <w:r w:rsidRPr="006A7A76">
        <w:rPr>
          <w:rFonts w:ascii="Times New Roman" w:hAnsi="Times New Roman" w:cs="Times New Roman"/>
          <w:sz w:val="28"/>
          <w:szCs w:val="28"/>
        </w:rPr>
        <w:t>and is not justified. Consequently, the Constitutional Court found Article 40.2.2 of the Code inconsistent with Article 33.1 of the Basic Law.</w:t>
      </w:r>
    </w:p>
    <w:p w14:paraId="50F92A54" w14:textId="284B15EE" w:rsidR="00594FAB" w:rsidRPr="006A7A76" w:rsidRDefault="00594FAB" w:rsidP="00594FAB">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Thus, the Constitutional Court of Ukraine held to declare </w:t>
      </w:r>
      <w:r w:rsidRPr="006A7A76">
        <w:rPr>
          <w:rFonts w:ascii="Times New Roman" w:hAnsi="Times New Roman" w:cs="Times New Roman"/>
          <w:sz w:val="28"/>
          <w:szCs w:val="28"/>
          <w:lang w:val="en-US"/>
        </w:rPr>
        <w:t>Article 40.2.2 of the Housing Code inconsistent with the Constitution (unconstitutional)</w:t>
      </w:r>
      <w:r>
        <w:rPr>
          <w:rFonts w:ascii="Times New Roman" w:hAnsi="Times New Roman" w:cs="Times New Roman"/>
          <w:sz w:val="28"/>
          <w:szCs w:val="28"/>
          <w:lang w:val="en-US"/>
        </w:rPr>
        <w:t>.</w:t>
      </w:r>
      <w:r w:rsidRPr="006A7A76">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6A7A76">
        <w:rPr>
          <w:rFonts w:ascii="Times New Roman" w:hAnsi="Times New Roman" w:cs="Times New Roman"/>
          <w:sz w:val="28"/>
          <w:szCs w:val="28"/>
          <w:lang w:val="en-US"/>
        </w:rPr>
        <w:t xml:space="preserve">t </w:t>
      </w:r>
      <w:r>
        <w:rPr>
          <w:rFonts w:ascii="Times New Roman" w:hAnsi="Times New Roman" w:cs="Times New Roman"/>
          <w:sz w:val="28"/>
          <w:szCs w:val="28"/>
          <w:lang w:val="en-US"/>
        </w:rPr>
        <w:t xml:space="preserve">shall become </w:t>
      </w:r>
      <w:r w:rsidRPr="006A7A76">
        <w:rPr>
          <w:rFonts w:ascii="Times New Roman" w:hAnsi="Times New Roman" w:cs="Times New Roman"/>
          <w:sz w:val="28"/>
          <w:szCs w:val="28"/>
          <w:lang w:val="en-US"/>
        </w:rPr>
        <w:t xml:space="preserve">invalid from the date </w:t>
      </w:r>
      <w:r>
        <w:rPr>
          <w:rFonts w:ascii="Times New Roman" w:hAnsi="Times New Roman" w:cs="Times New Roman"/>
          <w:sz w:val="28"/>
          <w:szCs w:val="28"/>
          <w:lang w:val="en-US"/>
        </w:rPr>
        <w:t xml:space="preserve">of the adoption of </w:t>
      </w:r>
      <w:r w:rsidRPr="006A7A76">
        <w:rPr>
          <w:rFonts w:ascii="Times New Roman" w:hAnsi="Times New Roman" w:cs="Times New Roman"/>
          <w:sz w:val="28"/>
          <w:szCs w:val="28"/>
          <w:lang w:val="en-US"/>
        </w:rPr>
        <w:t>this Decision by the Constitutional Court.</w:t>
      </w:r>
    </w:p>
    <w:p w14:paraId="34BC27E2" w14:textId="77777777" w:rsidR="00594FAB" w:rsidRPr="006A7A76" w:rsidRDefault="00594FAB" w:rsidP="006A7A76">
      <w:pPr>
        <w:ind w:firstLine="709"/>
        <w:jc w:val="both"/>
        <w:rPr>
          <w:rFonts w:ascii="Times New Roman" w:hAnsi="Times New Roman" w:cs="Times New Roman"/>
          <w:b/>
          <w:bCs/>
          <w:sz w:val="28"/>
          <w:szCs w:val="28"/>
          <w:u w:val="single"/>
          <w:lang w:val="en-US"/>
        </w:rPr>
      </w:pPr>
    </w:p>
    <w:p w14:paraId="0BECA6BF" w14:textId="776253A2" w:rsidR="009D0438" w:rsidRPr="00594FAB" w:rsidRDefault="009D0438" w:rsidP="006A7A76">
      <w:pPr>
        <w:ind w:firstLine="709"/>
        <w:jc w:val="both"/>
        <w:rPr>
          <w:rFonts w:ascii="Times New Roman" w:hAnsi="Times New Roman" w:cs="Times New Roman"/>
          <w:b/>
          <w:bCs/>
          <w:i/>
          <w:sz w:val="28"/>
          <w:szCs w:val="28"/>
          <w:lang w:val="en-US"/>
        </w:rPr>
      </w:pPr>
      <w:r w:rsidRPr="00594FAB">
        <w:rPr>
          <w:rFonts w:ascii="Times New Roman" w:hAnsi="Times New Roman" w:cs="Times New Roman"/>
          <w:b/>
          <w:bCs/>
          <w:i/>
          <w:sz w:val="28"/>
          <w:szCs w:val="28"/>
          <w:lang w:val="en-US"/>
        </w:rPr>
        <w:t>References:</w:t>
      </w:r>
    </w:p>
    <w:p w14:paraId="1B701215" w14:textId="77777777" w:rsidR="009D0438" w:rsidRPr="006A7A76" w:rsidRDefault="009D0438" w:rsidP="006A7A76">
      <w:pPr>
        <w:pStyle w:val="a3"/>
        <w:spacing w:after="0"/>
        <w:ind w:firstLine="709"/>
        <w:jc w:val="both"/>
        <w:rPr>
          <w:sz w:val="28"/>
          <w:szCs w:val="28"/>
          <w:lang w:val="en-US"/>
        </w:rPr>
      </w:pPr>
      <w:r w:rsidRPr="006A7A76">
        <w:rPr>
          <w:sz w:val="28"/>
          <w:szCs w:val="28"/>
          <w:lang w:val="en-US"/>
        </w:rPr>
        <w:t xml:space="preserve">Decisions of the Constitutional Court of Ukraine: </w:t>
      </w:r>
    </w:p>
    <w:p w14:paraId="35727F6E" w14:textId="49895D40" w:rsidR="009D0438" w:rsidRPr="006A7A76" w:rsidRDefault="009D0438" w:rsidP="006A7A76">
      <w:pPr>
        <w:pStyle w:val="a3"/>
        <w:spacing w:after="0"/>
        <w:ind w:firstLine="709"/>
        <w:jc w:val="both"/>
        <w:rPr>
          <w:sz w:val="28"/>
          <w:szCs w:val="28"/>
          <w:lang w:val="en-US"/>
        </w:rPr>
      </w:pPr>
      <w:r w:rsidRPr="006A7A76">
        <w:rPr>
          <w:sz w:val="28"/>
          <w:szCs w:val="28"/>
          <w:lang w:val="en-US"/>
        </w:rPr>
        <w:t>No. 1-rp/2005 of March 17, 2005,</w:t>
      </w:r>
    </w:p>
    <w:p w14:paraId="537733E2" w14:textId="2CCE8E78" w:rsidR="009D0438" w:rsidRPr="006A7A76" w:rsidRDefault="009D0438" w:rsidP="006A7A76">
      <w:pPr>
        <w:pStyle w:val="a3"/>
        <w:spacing w:after="0"/>
        <w:ind w:firstLine="709"/>
        <w:jc w:val="both"/>
        <w:rPr>
          <w:sz w:val="28"/>
          <w:szCs w:val="28"/>
          <w:lang w:val="en-US"/>
        </w:rPr>
      </w:pPr>
      <w:r w:rsidRPr="006A7A76">
        <w:rPr>
          <w:sz w:val="28"/>
          <w:szCs w:val="28"/>
          <w:lang w:val="en-US"/>
        </w:rPr>
        <w:t>No. 8-rp/2005 of October 11, 2005,</w:t>
      </w:r>
    </w:p>
    <w:p w14:paraId="0B3C60B9" w14:textId="467E4302" w:rsidR="009D0438" w:rsidRPr="006A7A76" w:rsidRDefault="009D0438" w:rsidP="006A7A76">
      <w:pPr>
        <w:pStyle w:val="a3"/>
        <w:spacing w:after="0"/>
        <w:ind w:firstLine="709"/>
        <w:jc w:val="both"/>
        <w:rPr>
          <w:sz w:val="28"/>
          <w:szCs w:val="28"/>
          <w:lang w:val="en-US"/>
        </w:rPr>
      </w:pPr>
      <w:r w:rsidRPr="006A7A76">
        <w:rPr>
          <w:sz w:val="28"/>
          <w:szCs w:val="28"/>
          <w:lang w:val="en-US"/>
        </w:rPr>
        <w:t>No. 8-rp/2007 of October 16, 2007,</w:t>
      </w:r>
    </w:p>
    <w:p w14:paraId="74DD8CD9" w14:textId="6680E07B" w:rsidR="009D0438" w:rsidRPr="006A7A76" w:rsidRDefault="009D0438" w:rsidP="006A7A76">
      <w:pPr>
        <w:pStyle w:val="a3"/>
        <w:spacing w:after="0"/>
        <w:ind w:firstLine="709"/>
        <w:jc w:val="both"/>
        <w:rPr>
          <w:sz w:val="28"/>
          <w:szCs w:val="28"/>
          <w:lang w:val="en-US"/>
        </w:rPr>
      </w:pPr>
      <w:r w:rsidRPr="006A7A76">
        <w:rPr>
          <w:sz w:val="28"/>
          <w:szCs w:val="28"/>
          <w:lang w:val="en-US"/>
        </w:rPr>
        <w:t>No. 3-rp/2012 of January 25, 2012,</w:t>
      </w:r>
    </w:p>
    <w:p w14:paraId="5B81658E" w14:textId="5A2302C0" w:rsidR="009D0438" w:rsidRPr="006A7A76" w:rsidRDefault="009D0438" w:rsidP="006A7A76">
      <w:pPr>
        <w:pStyle w:val="a3"/>
        <w:spacing w:after="0"/>
        <w:ind w:firstLine="709"/>
        <w:jc w:val="both"/>
        <w:rPr>
          <w:sz w:val="28"/>
          <w:szCs w:val="28"/>
          <w:lang w:val="en-US"/>
        </w:rPr>
      </w:pPr>
      <w:r w:rsidRPr="006A7A76">
        <w:rPr>
          <w:sz w:val="28"/>
          <w:szCs w:val="28"/>
          <w:lang w:val="en-US"/>
        </w:rPr>
        <w:t>No. 2-rp/2016 of June 1, 2016,</w:t>
      </w:r>
    </w:p>
    <w:p w14:paraId="22AB482B" w14:textId="489C1A63" w:rsidR="006F02F8" w:rsidRPr="006A7A76" w:rsidRDefault="006F02F8" w:rsidP="006A7A76">
      <w:pPr>
        <w:pStyle w:val="a3"/>
        <w:spacing w:after="0"/>
        <w:ind w:firstLine="709"/>
        <w:jc w:val="both"/>
        <w:rPr>
          <w:sz w:val="28"/>
          <w:szCs w:val="28"/>
          <w:lang w:val="en-US"/>
        </w:rPr>
      </w:pPr>
      <w:r w:rsidRPr="006A7A76">
        <w:rPr>
          <w:sz w:val="28"/>
          <w:szCs w:val="28"/>
          <w:lang w:val="en-US"/>
        </w:rPr>
        <w:t>No. 5-r/2018 of May 22, 2018,</w:t>
      </w:r>
    </w:p>
    <w:p w14:paraId="362DA212" w14:textId="4B85C90A" w:rsidR="006F02F8" w:rsidRPr="006A7A76" w:rsidRDefault="006F02F8" w:rsidP="006A7A76">
      <w:pPr>
        <w:pStyle w:val="a3"/>
        <w:spacing w:after="0"/>
        <w:ind w:firstLine="709"/>
        <w:jc w:val="both"/>
        <w:rPr>
          <w:sz w:val="28"/>
          <w:szCs w:val="28"/>
          <w:lang w:val="en-US"/>
        </w:rPr>
      </w:pPr>
      <w:r w:rsidRPr="006A7A76">
        <w:rPr>
          <w:sz w:val="28"/>
          <w:szCs w:val="28"/>
          <w:lang w:val="en-US"/>
        </w:rPr>
        <w:t>No. 5-r(I)/2019 of July 12, 2019,</w:t>
      </w:r>
    </w:p>
    <w:p w14:paraId="425F307C" w14:textId="77777777" w:rsidR="004209EE" w:rsidRPr="006A7A76" w:rsidRDefault="006F02F8" w:rsidP="006A7A76">
      <w:pPr>
        <w:pStyle w:val="a3"/>
        <w:spacing w:after="0"/>
        <w:ind w:firstLine="709"/>
        <w:jc w:val="both"/>
        <w:rPr>
          <w:sz w:val="28"/>
          <w:szCs w:val="28"/>
          <w:lang w:val="en-US"/>
        </w:rPr>
      </w:pPr>
      <w:r w:rsidRPr="006A7A76">
        <w:rPr>
          <w:sz w:val="28"/>
          <w:szCs w:val="28"/>
          <w:lang w:val="en-US"/>
        </w:rPr>
        <w:lastRenderedPageBreak/>
        <w:t>No. 12-r/2019 of December 20, 2019,</w:t>
      </w:r>
    </w:p>
    <w:p w14:paraId="5353F98D" w14:textId="77777777" w:rsidR="004209EE" w:rsidRPr="006A7A76" w:rsidRDefault="004209EE" w:rsidP="006A7A76">
      <w:pPr>
        <w:pStyle w:val="a3"/>
        <w:spacing w:after="0"/>
        <w:ind w:firstLine="709"/>
        <w:jc w:val="both"/>
        <w:rPr>
          <w:sz w:val="28"/>
          <w:szCs w:val="28"/>
          <w:lang w:val="en-US"/>
        </w:rPr>
      </w:pPr>
    </w:p>
    <w:p w14:paraId="57762DB0" w14:textId="6CE61F26" w:rsidR="006F02F8" w:rsidRPr="0043601A" w:rsidRDefault="006F02F8" w:rsidP="006A7A76">
      <w:pPr>
        <w:pStyle w:val="a3"/>
        <w:spacing w:after="0"/>
        <w:ind w:firstLine="709"/>
        <w:jc w:val="both"/>
        <w:rPr>
          <w:sz w:val="28"/>
          <w:szCs w:val="28"/>
          <w:lang w:val="en-US"/>
        </w:rPr>
      </w:pPr>
      <w:r w:rsidRPr="006A7A76">
        <w:rPr>
          <w:sz w:val="28"/>
          <w:szCs w:val="28"/>
          <w:lang/>
        </w:rPr>
        <w:t>International Covenant on Economic, Social and Cultural Rights</w:t>
      </w:r>
      <w:r w:rsidR="0043601A">
        <w:rPr>
          <w:sz w:val="28"/>
          <w:szCs w:val="28"/>
          <w:lang w:val="en-US"/>
        </w:rPr>
        <w:t>,</w:t>
      </w:r>
    </w:p>
    <w:p w14:paraId="2E888078" w14:textId="45B54DCB" w:rsidR="006F02F8" w:rsidRPr="006A7A76" w:rsidRDefault="006F02F8" w:rsidP="006A7A76">
      <w:pPr>
        <w:pStyle w:val="a3"/>
        <w:spacing w:after="0"/>
        <w:ind w:firstLine="709"/>
        <w:jc w:val="both"/>
        <w:rPr>
          <w:sz w:val="28"/>
          <w:szCs w:val="28"/>
          <w:lang w:val="en-US"/>
        </w:rPr>
      </w:pPr>
      <w:r w:rsidRPr="006A7A76">
        <w:rPr>
          <w:sz w:val="28"/>
          <w:szCs w:val="28"/>
          <w:lang w:val="en-US"/>
        </w:rPr>
        <w:t>International Covenant on Civil and Political Rights of 1966,</w:t>
      </w:r>
    </w:p>
    <w:p w14:paraId="132AFABD" w14:textId="00D60B9F" w:rsidR="006F02F8" w:rsidRPr="006A7A76" w:rsidRDefault="006F02F8" w:rsidP="006A7A76">
      <w:pPr>
        <w:pStyle w:val="a3"/>
        <w:spacing w:after="0"/>
        <w:ind w:firstLine="709"/>
        <w:jc w:val="both"/>
        <w:rPr>
          <w:sz w:val="28"/>
          <w:szCs w:val="28"/>
          <w:lang w:val="en-US"/>
        </w:rPr>
      </w:pPr>
      <w:r w:rsidRPr="006A7A76">
        <w:rPr>
          <w:sz w:val="28"/>
          <w:szCs w:val="28"/>
          <w:lang w:val="en-US"/>
        </w:rPr>
        <w:t>Convention for the Protection of Human Rights and Fundamental Freedoms of 1950,</w:t>
      </w:r>
    </w:p>
    <w:p w14:paraId="7F6EAB96" w14:textId="0B714520" w:rsidR="006A6C62" w:rsidRPr="006A7A76" w:rsidRDefault="006A6C62" w:rsidP="006A7A76">
      <w:pPr>
        <w:pStyle w:val="a3"/>
        <w:spacing w:after="0"/>
        <w:ind w:firstLine="709"/>
        <w:jc w:val="both"/>
        <w:rPr>
          <w:sz w:val="28"/>
          <w:szCs w:val="28"/>
          <w:lang w:val="en-US"/>
        </w:rPr>
      </w:pPr>
      <w:r w:rsidRPr="006A7A76">
        <w:rPr>
          <w:sz w:val="28"/>
          <w:szCs w:val="28"/>
          <w:lang w:val="en-US"/>
        </w:rPr>
        <w:t>Protocol No. 12 to the Convention for the Protection of Human Rights and Fundamental Freedoms of 1950,</w:t>
      </w:r>
    </w:p>
    <w:p w14:paraId="21B87504" w14:textId="707F3195" w:rsidR="006A6C62" w:rsidRPr="006A7A76" w:rsidRDefault="006A6C62" w:rsidP="006A7A76">
      <w:pPr>
        <w:pStyle w:val="a3"/>
        <w:spacing w:after="0"/>
        <w:ind w:firstLine="709"/>
        <w:jc w:val="both"/>
        <w:rPr>
          <w:sz w:val="28"/>
          <w:szCs w:val="28"/>
          <w:lang w:val="en-US"/>
        </w:rPr>
      </w:pPr>
      <w:r w:rsidRPr="006A7A76">
        <w:rPr>
          <w:sz w:val="28"/>
          <w:szCs w:val="28"/>
          <w:lang w:val="en-US"/>
        </w:rPr>
        <w:t>Protocol No. 4 to the Convention for the Protection of Human Rights and Fundamental Freedoms of 1950,</w:t>
      </w:r>
    </w:p>
    <w:p w14:paraId="27AD15E4" w14:textId="59671A6D" w:rsidR="006F02F8" w:rsidRPr="006A7A76" w:rsidRDefault="006A6C62" w:rsidP="006A7A76">
      <w:pPr>
        <w:pStyle w:val="a3"/>
        <w:spacing w:after="0"/>
        <w:ind w:firstLine="709"/>
        <w:jc w:val="both"/>
        <w:rPr>
          <w:sz w:val="28"/>
          <w:szCs w:val="28"/>
          <w:lang w:val="en-US"/>
        </w:rPr>
      </w:pPr>
      <w:r w:rsidRPr="006A7A76">
        <w:rPr>
          <w:sz w:val="28"/>
          <w:szCs w:val="28"/>
          <w:lang w:val="en-US"/>
        </w:rPr>
        <w:t>Universal Declaration of Human Rights of 1948,</w:t>
      </w:r>
    </w:p>
    <w:p w14:paraId="1F7EF6A6" w14:textId="3DDE5017" w:rsidR="006A6C62" w:rsidRPr="006A7A76" w:rsidRDefault="006A6C62" w:rsidP="006A7A76">
      <w:pPr>
        <w:pStyle w:val="a3"/>
        <w:spacing w:after="0"/>
        <w:ind w:firstLine="709"/>
        <w:jc w:val="both"/>
        <w:rPr>
          <w:sz w:val="28"/>
          <w:szCs w:val="28"/>
          <w:lang w:val="en-US"/>
        </w:rPr>
      </w:pPr>
      <w:r w:rsidRPr="006A7A76">
        <w:rPr>
          <w:sz w:val="28"/>
          <w:szCs w:val="28"/>
          <w:lang/>
        </w:rPr>
        <w:t>CESCR General Comment No. 4</w:t>
      </w:r>
      <w:r w:rsidRPr="006A7A76">
        <w:rPr>
          <w:sz w:val="28"/>
          <w:szCs w:val="28"/>
          <w:lang w:val="en-US"/>
        </w:rPr>
        <w:t xml:space="preserve"> (1991)</w:t>
      </w:r>
      <w:r w:rsidRPr="006A7A76">
        <w:rPr>
          <w:sz w:val="28"/>
          <w:szCs w:val="28"/>
          <w:lang/>
        </w:rPr>
        <w:t>: The Right to Adequate Housing (Art. 11 (1) of the Covenant)</w:t>
      </w:r>
      <w:r w:rsidR="00866DC6" w:rsidRPr="006A7A76">
        <w:rPr>
          <w:sz w:val="28"/>
          <w:szCs w:val="28"/>
          <w:lang w:val="en-US"/>
        </w:rPr>
        <w:t>,</w:t>
      </w:r>
    </w:p>
    <w:p w14:paraId="3A9E3EE6" w14:textId="5B5ED53F" w:rsidR="00866DC6" w:rsidRPr="006A7A76" w:rsidRDefault="00866DC6" w:rsidP="006A7A76">
      <w:pPr>
        <w:pStyle w:val="a3"/>
        <w:spacing w:after="0"/>
        <w:ind w:firstLine="709"/>
        <w:jc w:val="both"/>
        <w:rPr>
          <w:sz w:val="28"/>
          <w:szCs w:val="28"/>
          <w:lang w:val="en-US"/>
        </w:rPr>
      </w:pPr>
      <w:r w:rsidRPr="006A7A76">
        <w:rPr>
          <w:sz w:val="28"/>
          <w:szCs w:val="28"/>
          <w:lang w:val="en-US"/>
        </w:rPr>
        <w:t>European Social Charter (revised) of 1996,</w:t>
      </w:r>
    </w:p>
    <w:p w14:paraId="13BBFFE5" w14:textId="73BBCE08" w:rsidR="00866DC6" w:rsidRPr="006A7A76" w:rsidRDefault="00866DC6" w:rsidP="006A7A76">
      <w:pPr>
        <w:pStyle w:val="a3"/>
        <w:spacing w:after="0"/>
        <w:ind w:firstLine="709"/>
        <w:jc w:val="both"/>
        <w:rPr>
          <w:sz w:val="28"/>
          <w:szCs w:val="28"/>
          <w:lang w:val="en-US"/>
        </w:rPr>
      </w:pPr>
      <w:r w:rsidRPr="006A7A76">
        <w:rPr>
          <w:sz w:val="28"/>
          <w:szCs w:val="28"/>
          <w:lang/>
        </w:rPr>
        <w:t xml:space="preserve">CCPR General Comment No. 27: Article 12 (Freedom of Movement) </w:t>
      </w:r>
      <w:r w:rsidRPr="006A7A76">
        <w:rPr>
          <w:sz w:val="28"/>
          <w:szCs w:val="28"/>
          <w:lang w:val="en-US"/>
        </w:rPr>
        <w:t>adopted</w:t>
      </w:r>
      <w:r w:rsidRPr="006A7A76">
        <w:rPr>
          <w:sz w:val="28"/>
          <w:szCs w:val="28"/>
        </w:rPr>
        <w:t xml:space="preserve"> </w:t>
      </w:r>
      <w:r w:rsidRPr="006A7A76">
        <w:rPr>
          <w:sz w:val="28"/>
          <w:szCs w:val="28"/>
          <w:lang w:val="en-US"/>
        </w:rPr>
        <w:t>on November 2,</w:t>
      </w:r>
      <w:r w:rsidRPr="006A7A76">
        <w:rPr>
          <w:sz w:val="28"/>
          <w:szCs w:val="28"/>
        </w:rPr>
        <w:t xml:space="preserve"> 1999 (CCPR/C/21/Rev.1/Add.9)</w:t>
      </w:r>
      <w:r w:rsidRPr="006A7A76">
        <w:rPr>
          <w:sz w:val="28"/>
          <w:szCs w:val="28"/>
          <w:lang w:val="en-US"/>
        </w:rPr>
        <w:t>,</w:t>
      </w:r>
    </w:p>
    <w:p w14:paraId="06DBF8B4" w14:textId="40D4C399" w:rsidR="00866DC6" w:rsidRPr="006A7A76" w:rsidRDefault="00866DC6" w:rsidP="006A7A76">
      <w:pPr>
        <w:pStyle w:val="a3"/>
        <w:spacing w:after="0"/>
        <w:ind w:firstLine="709"/>
        <w:jc w:val="both"/>
        <w:rPr>
          <w:sz w:val="28"/>
          <w:szCs w:val="28"/>
          <w:lang w:val="en-US"/>
        </w:rPr>
      </w:pPr>
      <w:r w:rsidRPr="006A7A76">
        <w:rPr>
          <w:sz w:val="28"/>
          <w:szCs w:val="28"/>
          <w:lang w:val="en-US"/>
        </w:rPr>
        <w:t>Treaty on European Union of February 7, 1992,</w:t>
      </w:r>
    </w:p>
    <w:p w14:paraId="3D60991A" w14:textId="4B9C4E43" w:rsidR="00866DC6" w:rsidRPr="006A7A76" w:rsidRDefault="00D62931" w:rsidP="006A7A76">
      <w:pPr>
        <w:pStyle w:val="a3"/>
        <w:spacing w:after="0"/>
        <w:ind w:firstLine="709"/>
        <w:jc w:val="both"/>
        <w:rPr>
          <w:sz w:val="28"/>
          <w:szCs w:val="28"/>
          <w:lang w:val="en-US"/>
        </w:rPr>
      </w:pPr>
      <w:r w:rsidRPr="006A7A76">
        <w:rPr>
          <w:sz w:val="28"/>
          <w:szCs w:val="28"/>
          <w:lang w:val="en-US"/>
        </w:rPr>
        <w:t>Charter of Fundamental Rights of the European Union of December 7, 2000,</w:t>
      </w:r>
    </w:p>
    <w:p w14:paraId="6027CA38" w14:textId="467333A9" w:rsidR="00866DC6" w:rsidRPr="0043601A" w:rsidRDefault="00D62931" w:rsidP="006A7A76">
      <w:pPr>
        <w:pStyle w:val="a3"/>
        <w:spacing w:after="0"/>
        <w:ind w:firstLine="709"/>
        <w:jc w:val="both"/>
        <w:rPr>
          <w:sz w:val="28"/>
          <w:szCs w:val="28"/>
          <w:lang w:val="en-US"/>
        </w:rPr>
      </w:pPr>
      <w:r w:rsidRPr="0043601A">
        <w:rPr>
          <w:sz w:val="28"/>
          <w:szCs w:val="28"/>
          <w:lang w:val="en-US"/>
        </w:rPr>
        <w:t>Association Agreement between the European Union and the European Atomic Energy Community and their Member States, of the One Part, and Ukraine, of the Other Part</w:t>
      </w:r>
      <w:r w:rsidR="0043601A">
        <w:rPr>
          <w:sz w:val="28"/>
          <w:szCs w:val="28"/>
          <w:lang w:val="en-US"/>
        </w:rPr>
        <w:t>,</w:t>
      </w:r>
    </w:p>
    <w:p w14:paraId="66C64E6F" w14:textId="60BBE08C" w:rsidR="009D0438" w:rsidRPr="006A7A76" w:rsidRDefault="009D0438" w:rsidP="006A7A76">
      <w:pPr>
        <w:pStyle w:val="a3"/>
        <w:spacing w:after="0"/>
        <w:ind w:firstLine="709"/>
        <w:jc w:val="both"/>
        <w:rPr>
          <w:sz w:val="28"/>
          <w:szCs w:val="28"/>
          <w:lang w:val="en-US"/>
        </w:rPr>
      </w:pPr>
    </w:p>
    <w:p w14:paraId="479AFCDC" w14:textId="77777777" w:rsidR="009D0438" w:rsidRPr="006A7A76" w:rsidRDefault="009D0438" w:rsidP="006A7A76">
      <w:pPr>
        <w:pStyle w:val="a3"/>
        <w:spacing w:after="0"/>
        <w:ind w:firstLine="709"/>
        <w:jc w:val="both"/>
        <w:rPr>
          <w:sz w:val="28"/>
          <w:szCs w:val="28"/>
          <w:lang w:val="en-US"/>
        </w:rPr>
      </w:pPr>
      <w:r w:rsidRPr="006A7A76">
        <w:rPr>
          <w:sz w:val="28"/>
          <w:szCs w:val="28"/>
          <w:lang w:val="en-US"/>
        </w:rPr>
        <w:t>Judgments of the European Court of Human Rights:</w:t>
      </w:r>
    </w:p>
    <w:p w14:paraId="1FE34D5B" w14:textId="59ECFE9A" w:rsidR="009D0438" w:rsidRPr="006A7A76" w:rsidRDefault="009D0438" w:rsidP="006A7A76">
      <w:pPr>
        <w:pStyle w:val="a3"/>
        <w:spacing w:after="0"/>
        <w:ind w:firstLine="709"/>
        <w:jc w:val="both"/>
        <w:rPr>
          <w:sz w:val="28"/>
          <w:szCs w:val="28"/>
          <w:lang w:val="en-US"/>
        </w:rPr>
      </w:pPr>
      <w:r w:rsidRPr="006A7A76">
        <w:rPr>
          <w:sz w:val="28"/>
          <w:szCs w:val="28"/>
          <w:lang w:val="en-US"/>
        </w:rPr>
        <w:t xml:space="preserve"> “</w:t>
      </w:r>
      <w:proofErr w:type="spellStart"/>
      <w:r w:rsidR="00736CCD" w:rsidRPr="006A7A76">
        <w:rPr>
          <w:rStyle w:val="wordhighlighted"/>
          <w:sz w:val="28"/>
          <w:szCs w:val="28"/>
          <w:lang w:val="en-US"/>
        </w:rPr>
        <w:t>Fedorchenko</w:t>
      </w:r>
      <w:proofErr w:type="spellEnd"/>
      <w:r w:rsidR="00736CCD" w:rsidRPr="006A7A76">
        <w:rPr>
          <w:rStyle w:val="wordhighlighted"/>
          <w:sz w:val="28"/>
          <w:szCs w:val="28"/>
          <w:lang w:val="en-US"/>
        </w:rPr>
        <w:t xml:space="preserve"> and </w:t>
      </w:r>
      <w:proofErr w:type="spellStart"/>
      <w:r w:rsidR="00736CCD" w:rsidRPr="006A7A76">
        <w:rPr>
          <w:rStyle w:val="wordhighlighted"/>
          <w:sz w:val="28"/>
          <w:szCs w:val="28"/>
          <w:lang w:val="en-US"/>
        </w:rPr>
        <w:t>Lozenko</w:t>
      </w:r>
      <w:proofErr w:type="spellEnd"/>
      <w:r w:rsidR="00736CCD" w:rsidRPr="006A7A76">
        <w:rPr>
          <w:rStyle w:val="wordhighlighted"/>
          <w:sz w:val="28"/>
          <w:szCs w:val="28"/>
          <w:lang w:val="en-US"/>
        </w:rPr>
        <w:t xml:space="preserve"> v. Ukraine</w:t>
      </w:r>
      <w:r w:rsidRPr="006A7A76">
        <w:rPr>
          <w:sz w:val="28"/>
          <w:szCs w:val="28"/>
          <w:lang w:val="en-US"/>
        </w:rPr>
        <w:t xml:space="preserve">” of </w:t>
      </w:r>
      <w:r w:rsidR="00736CCD" w:rsidRPr="006A7A76">
        <w:rPr>
          <w:sz w:val="28"/>
          <w:szCs w:val="28"/>
          <w:lang w:val="en-US"/>
        </w:rPr>
        <w:t>September</w:t>
      </w:r>
      <w:r w:rsidRPr="006A7A76">
        <w:rPr>
          <w:sz w:val="28"/>
          <w:szCs w:val="28"/>
          <w:lang w:val="en-US"/>
        </w:rPr>
        <w:t xml:space="preserve"> 8, </w:t>
      </w:r>
      <w:r w:rsidR="00736CCD" w:rsidRPr="006A7A76">
        <w:rPr>
          <w:sz w:val="28"/>
          <w:szCs w:val="28"/>
          <w:lang w:val="en-US"/>
        </w:rPr>
        <w:t>2012</w:t>
      </w:r>
      <w:r w:rsidRPr="006A7A76">
        <w:rPr>
          <w:sz w:val="28"/>
          <w:szCs w:val="28"/>
          <w:lang w:val="en-US"/>
        </w:rPr>
        <w:t xml:space="preserve"> (application No.</w:t>
      </w:r>
      <w:r w:rsidR="00736CCD" w:rsidRPr="006A7A76">
        <w:rPr>
          <w:sz w:val="28"/>
          <w:szCs w:val="28"/>
          <w:lang w:val="en-US"/>
        </w:rPr>
        <w:t xml:space="preserve"> </w:t>
      </w:r>
      <w:r w:rsidR="00736CCD" w:rsidRPr="006A7A76">
        <w:rPr>
          <w:iCs/>
          <w:sz w:val="28"/>
          <w:szCs w:val="28"/>
          <w:shd w:val="clear" w:color="auto" w:fill="FFFFFF"/>
          <w:lang w:val="en-US"/>
        </w:rPr>
        <w:t>387/03</w:t>
      </w:r>
      <w:r w:rsidRPr="006A7A76">
        <w:rPr>
          <w:sz w:val="28"/>
          <w:szCs w:val="28"/>
          <w:lang w:val="en-US"/>
        </w:rPr>
        <w:t>),</w:t>
      </w:r>
    </w:p>
    <w:p w14:paraId="34CD2C0E" w14:textId="1A0C0102" w:rsidR="00736CCD" w:rsidRPr="006A7A76" w:rsidRDefault="00736CCD" w:rsidP="006A7A76">
      <w:pPr>
        <w:pStyle w:val="a3"/>
        <w:spacing w:after="0"/>
        <w:ind w:firstLine="709"/>
        <w:jc w:val="both"/>
        <w:rPr>
          <w:sz w:val="28"/>
          <w:szCs w:val="28"/>
          <w:lang w:val="en-US"/>
        </w:rPr>
      </w:pPr>
      <w:r w:rsidRPr="006A7A76">
        <w:rPr>
          <w:sz w:val="28"/>
          <w:szCs w:val="28"/>
          <w:lang w:val="en-US"/>
        </w:rPr>
        <w:t>“</w:t>
      </w:r>
      <w:proofErr w:type="spellStart"/>
      <w:r w:rsidRPr="006A7A76">
        <w:rPr>
          <w:rStyle w:val="wordhighlighted"/>
          <w:sz w:val="28"/>
          <w:szCs w:val="28"/>
          <w:lang w:val="en-US"/>
        </w:rPr>
        <w:t>Pichkur</w:t>
      </w:r>
      <w:proofErr w:type="spellEnd"/>
      <w:r w:rsidRPr="006A7A76">
        <w:rPr>
          <w:rStyle w:val="wordhighlighted"/>
          <w:sz w:val="28"/>
          <w:szCs w:val="28"/>
          <w:lang w:val="en-US"/>
        </w:rPr>
        <w:t xml:space="preserve"> v. Ukraine</w:t>
      </w:r>
      <w:r w:rsidRPr="006A7A76">
        <w:rPr>
          <w:sz w:val="28"/>
          <w:szCs w:val="28"/>
          <w:lang w:val="en-US"/>
        </w:rPr>
        <w:t xml:space="preserve">” of November 7, 2013 (application No. </w:t>
      </w:r>
      <w:r w:rsidRPr="006A7A76">
        <w:rPr>
          <w:sz w:val="28"/>
          <w:szCs w:val="28"/>
        </w:rPr>
        <w:t>10441/06</w:t>
      </w:r>
      <w:r w:rsidRPr="006A7A76">
        <w:rPr>
          <w:sz w:val="28"/>
          <w:szCs w:val="28"/>
          <w:lang w:val="en-US"/>
        </w:rPr>
        <w:t>),</w:t>
      </w:r>
    </w:p>
    <w:p w14:paraId="5F62ACBD" w14:textId="0CA53482" w:rsidR="00866DC6" w:rsidRPr="006A7A76" w:rsidRDefault="00866DC6" w:rsidP="006A7A76">
      <w:pPr>
        <w:pStyle w:val="a3"/>
        <w:spacing w:after="0"/>
        <w:ind w:firstLine="709"/>
        <w:jc w:val="both"/>
        <w:rPr>
          <w:sz w:val="28"/>
          <w:szCs w:val="28"/>
          <w:lang w:val="en-US"/>
        </w:rPr>
      </w:pPr>
      <w:r w:rsidRPr="006A7A76">
        <w:rPr>
          <w:sz w:val="28"/>
          <w:szCs w:val="28"/>
          <w:lang w:val="en-US"/>
        </w:rPr>
        <w:t>“</w:t>
      </w:r>
      <w:proofErr w:type="spellStart"/>
      <w:r w:rsidRPr="006A7A76">
        <w:rPr>
          <w:sz w:val="28"/>
          <w:szCs w:val="28"/>
        </w:rPr>
        <w:t>Garib</w:t>
      </w:r>
      <w:proofErr w:type="spellEnd"/>
      <w:r w:rsidRPr="006A7A76">
        <w:rPr>
          <w:sz w:val="28"/>
          <w:szCs w:val="28"/>
        </w:rPr>
        <w:t xml:space="preserve"> v. </w:t>
      </w:r>
      <w:proofErr w:type="spellStart"/>
      <w:r w:rsidRPr="006A7A76">
        <w:rPr>
          <w:sz w:val="28"/>
          <w:szCs w:val="28"/>
        </w:rPr>
        <w:t>the</w:t>
      </w:r>
      <w:proofErr w:type="spellEnd"/>
      <w:r w:rsidRPr="006A7A76">
        <w:rPr>
          <w:sz w:val="28"/>
          <w:szCs w:val="28"/>
        </w:rPr>
        <w:t xml:space="preserve"> </w:t>
      </w:r>
      <w:proofErr w:type="spellStart"/>
      <w:r w:rsidRPr="006A7A76">
        <w:rPr>
          <w:sz w:val="28"/>
          <w:szCs w:val="28"/>
        </w:rPr>
        <w:t>Netherlands</w:t>
      </w:r>
      <w:proofErr w:type="spellEnd"/>
      <w:r w:rsidRPr="006A7A76">
        <w:rPr>
          <w:sz w:val="28"/>
          <w:szCs w:val="28"/>
          <w:lang w:val="en-US"/>
        </w:rPr>
        <w:t xml:space="preserve">” of November 6, 2017 (application No. </w:t>
      </w:r>
      <w:r w:rsidRPr="006A7A76">
        <w:rPr>
          <w:sz w:val="28"/>
          <w:szCs w:val="28"/>
        </w:rPr>
        <w:t>43494/09</w:t>
      </w:r>
      <w:r w:rsidRPr="006A7A76">
        <w:rPr>
          <w:sz w:val="28"/>
          <w:szCs w:val="28"/>
          <w:lang w:val="en-US"/>
        </w:rPr>
        <w:t>)</w:t>
      </w:r>
      <w:r w:rsidR="0043601A">
        <w:rPr>
          <w:sz w:val="28"/>
          <w:szCs w:val="28"/>
          <w:lang w:val="en-US"/>
        </w:rPr>
        <w:t>.</w:t>
      </w:r>
    </w:p>
    <w:p w14:paraId="73F02FF6" w14:textId="77777777" w:rsidR="00736CCD" w:rsidRPr="006A7A76" w:rsidRDefault="00736CCD" w:rsidP="006A7A76">
      <w:pPr>
        <w:pStyle w:val="a3"/>
        <w:spacing w:after="0"/>
        <w:ind w:firstLine="709"/>
        <w:jc w:val="both"/>
        <w:rPr>
          <w:sz w:val="28"/>
          <w:szCs w:val="28"/>
          <w:lang w:val="en-US"/>
        </w:rPr>
      </w:pPr>
      <w:bookmarkStart w:id="0" w:name="_GoBack"/>
      <w:bookmarkEnd w:id="0"/>
    </w:p>
    <w:sectPr w:rsidR="00736CCD" w:rsidRPr="006A7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93"/>
    <w:rsid w:val="000F2646"/>
    <w:rsid w:val="00103CE0"/>
    <w:rsid w:val="00192F87"/>
    <w:rsid w:val="004209EE"/>
    <w:rsid w:val="0043601A"/>
    <w:rsid w:val="00581DE8"/>
    <w:rsid w:val="00594FAB"/>
    <w:rsid w:val="00611A93"/>
    <w:rsid w:val="0063377B"/>
    <w:rsid w:val="006A6C62"/>
    <w:rsid w:val="006A7A76"/>
    <w:rsid w:val="006F02F8"/>
    <w:rsid w:val="00736CCD"/>
    <w:rsid w:val="007422D7"/>
    <w:rsid w:val="00771DA2"/>
    <w:rsid w:val="00866DC6"/>
    <w:rsid w:val="00997069"/>
    <w:rsid w:val="009D0438"/>
    <w:rsid w:val="00A1735D"/>
    <w:rsid w:val="00BA15AB"/>
    <w:rsid w:val="00D62931"/>
    <w:rsid w:val="00DA106B"/>
    <w:rsid w:val="00DE0673"/>
    <w:rsid w:val="00E33D0B"/>
    <w:rsid w:val="00E54129"/>
    <w:rsid w:val="00E8233E"/>
    <w:rsid w:val="00F62E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C65A"/>
  <w15:chartTrackingRefBased/>
  <w15:docId w15:val="{E6AF46A2-F0AD-674A-9E82-1304D176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0438"/>
    <w:pPr>
      <w:autoSpaceDE w:val="0"/>
      <w:autoSpaceDN w:val="0"/>
      <w:adjustRightInd w:val="0"/>
      <w:spacing w:after="120"/>
    </w:pPr>
    <w:rPr>
      <w:rFonts w:ascii="Times New Roman" w:eastAsia="Times New Roman" w:hAnsi="Times New Roman" w:cs="Times New Roman"/>
      <w:lang w:val="uk-UA" w:eastAsia="uk-UA"/>
    </w:rPr>
  </w:style>
  <w:style w:type="character" w:customStyle="1" w:styleId="a4">
    <w:name w:val="Основний текст Знак"/>
    <w:basedOn w:val="a0"/>
    <w:link w:val="a3"/>
    <w:uiPriority w:val="99"/>
    <w:rsid w:val="009D0438"/>
    <w:rPr>
      <w:rFonts w:ascii="Times New Roman" w:eastAsia="Times New Roman" w:hAnsi="Times New Roman" w:cs="Times New Roman"/>
      <w:lang w:val="uk-UA" w:eastAsia="uk-UA"/>
    </w:rPr>
  </w:style>
  <w:style w:type="character" w:customStyle="1" w:styleId="s7d2086b4">
    <w:name w:val="s7d2086b4"/>
    <w:rsid w:val="009D0438"/>
  </w:style>
  <w:style w:type="character" w:customStyle="1" w:styleId="wordhighlighted">
    <w:name w:val="wordhighlighted"/>
    <w:basedOn w:val="a0"/>
    <w:rsid w:val="009D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308">
      <w:bodyDiv w:val="1"/>
      <w:marLeft w:val="0"/>
      <w:marRight w:val="0"/>
      <w:marTop w:val="0"/>
      <w:marBottom w:val="0"/>
      <w:divBdr>
        <w:top w:val="none" w:sz="0" w:space="0" w:color="auto"/>
        <w:left w:val="none" w:sz="0" w:space="0" w:color="auto"/>
        <w:bottom w:val="none" w:sz="0" w:space="0" w:color="auto"/>
        <w:right w:val="none" w:sz="0" w:space="0" w:color="auto"/>
      </w:divBdr>
      <w:divsChild>
        <w:div w:id="1673338265">
          <w:marLeft w:val="0"/>
          <w:marRight w:val="0"/>
          <w:marTop w:val="0"/>
          <w:marBottom w:val="0"/>
          <w:divBdr>
            <w:top w:val="none" w:sz="0" w:space="0" w:color="auto"/>
            <w:left w:val="none" w:sz="0" w:space="0" w:color="auto"/>
            <w:bottom w:val="none" w:sz="0" w:space="0" w:color="auto"/>
            <w:right w:val="none" w:sz="0" w:space="0" w:color="auto"/>
          </w:divBdr>
          <w:divsChild>
            <w:div w:id="77021331">
              <w:marLeft w:val="0"/>
              <w:marRight w:val="0"/>
              <w:marTop w:val="0"/>
              <w:marBottom w:val="0"/>
              <w:divBdr>
                <w:top w:val="none" w:sz="0" w:space="0" w:color="auto"/>
                <w:left w:val="none" w:sz="0" w:space="0" w:color="auto"/>
                <w:bottom w:val="none" w:sz="0" w:space="0" w:color="auto"/>
                <w:right w:val="none" w:sz="0" w:space="0" w:color="auto"/>
              </w:divBdr>
              <w:divsChild>
                <w:div w:id="12055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043">
      <w:bodyDiv w:val="1"/>
      <w:marLeft w:val="0"/>
      <w:marRight w:val="0"/>
      <w:marTop w:val="0"/>
      <w:marBottom w:val="0"/>
      <w:divBdr>
        <w:top w:val="none" w:sz="0" w:space="0" w:color="auto"/>
        <w:left w:val="none" w:sz="0" w:space="0" w:color="auto"/>
        <w:bottom w:val="none" w:sz="0" w:space="0" w:color="auto"/>
        <w:right w:val="none" w:sz="0" w:space="0" w:color="auto"/>
      </w:divBdr>
      <w:divsChild>
        <w:div w:id="1721322885">
          <w:marLeft w:val="0"/>
          <w:marRight w:val="0"/>
          <w:marTop w:val="0"/>
          <w:marBottom w:val="0"/>
          <w:divBdr>
            <w:top w:val="none" w:sz="0" w:space="0" w:color="auto"/>
            <w:left w:val="none" w:sz="0" w:space="0" w:color="auto"/>
            <w:bottom w:val="none" w:sz="0" w:space="0" w:color="auto"/>
            <w:right w:val="none" w:sz="0" w:space="0" w:color="auto"/>
          </w:divBdr>
        </w:div>
      </w:divsChild>
    </w:div>
    <w:div w:id="178278627">
      <w:bodyDiv w:val="1"/>
      <w:marLeft w:val="0"/>
      <w:marRight w:val="0"/>
      <w:marTop w:val="0"/>
      <w:marBottom w:val="0"/>
      <w:divBdr>
        <w:top w:val="none" w:sz="0" w:space="0" w:color="auto"/>
        <w:left w:val="none" w:sz="0" w:space="0" w:color="auto"/>
        <w:bottom w:val="none" w:sz="0" w:space="0" w:color="auto"/>
        <w:right w:val="none" w:sz="0" w:space="0" w:color="auto"/>
      </w:divBdr>
      <w:divsChild>
        <w:div w:id="118494440">
          <w:marLeft w:val="0"/>
          <w:marRight w:val="0"/>
          <w:marTop w:val="0"/>
          <w:marBottom w:val="0"/>
          <w:divBdr>
            <w:top w:val="none" w:sz="0" w:space="0" w:color="auto"/>
            <w:left w:val="none" w:sz="0" w:space="0" w:color="auto"/>
            <w:bottom w:val="none" w:sz="0" w:space="0" w:color="auto"/>
            <w:right w:val="none" w:sz="0" w:space="0" w:color="auto"/>
          </w:divBdr>
          <w:divsChild>
            <w:div w:id="886525777">
              <w:marLeft w:val="0"/>
              <w:marRight w:val="0"/>
              <w:marTop w:val="0"/>
              <w:marBottom w:val="0"/>
              <w:divBdr>
                <w:top w:val="none" w:sz="0" w:space="0" w:color="auto"/>
                <w:left w:val="none" w:sz="0" w:space="0" w:color="auto"/>
                <w:bottom w:val="none" w:sz="0" w:space="0" w:color="auto"/>
                <w:right w:val="none" w:sz="0" w:space="0" w:color="auto"/>
              </w:divBdr>
              <w:divsChild>
                <w:div w:id="6244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7895">
      <w:bodyDiv w:val="1"/>
      <w:marLeft w:val="0"/>
      <w:marRight w:val="0"/>
      <w:marTop w:val="0"/>
      <w:marBottom w:val="0"/>
      <w:divBdr>
        <w:top w:val="none" w:sz="0" w:space="0" w:color="auto"/>
        <w:left w:val="none" w:sz="0" w:space="0" w:color="auto"/>
        <w:bottom w:val="none" w:sz="0" w:space="0" w:color="auto"/>
        <w:right w:val="none" w:sz="0" w:space="0" w:color="auto"/>
      </w:divBdr>
      <w:divsChild>
        <w:div w:id="1397629208">
          <w:marLeft w:val="0"/>
          <w:marRight w:val="0"/>
          <w:marTop w:val="0"/>
          <w:marBottom w:val="0"/>
          <w:divBdr>
            <w:top w:val="none" w:sz="0" w:space="0" w:color="auto"/>
            <w:left w:val="none" w:sz="0" w:space="0" w:color="auto"/>
            <w:bottom w:val="none" w:sz="0" w:space="0" w:color="auto"/>
            <w:right w:val="none" w:sz="0" w:space="0" w:color="auto"/>
          </w:divBdr>
          <w:divsChild>
            <w:div w:id="612252948">
              <w:marLeft w:val="0"/>
              <w:marRight w:val="0"/>
              <w:marTop w:val="0"/>
              <w:marBottom w:val="0"/>
              <w:divBdr>
                <w:top w:val="none" w:sz="0" w:space="0" w:color="auto"/>
                <w:left w:val="none" w:sz="0" w:space="0" w:color="auto"/>
                <w:bottom w:val="none" w:sz="0" w:space="0" w:color="auto"/>
                <w:right w:val="none" w:sz="0" w:space="0" w:color="auto"/>
              </w:divBdr>
              <w:divsChild>
                <w:div w:id="20529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1386">
      <w:bodyDiv w:val="1"/>
      <w:marLeft w:val="0"/>
      <w:marRight w:val="0"/>
      <w:marTop w:val="0"/>
      <w:marBottom w:val="0"/>
      <w:divBdr>
        <w:top w:val="none" w:sz="0" w:space="0" w:color="auto"/>
        <w:left w:val="none" w:sz="0" w:space="0" w:color="auto"/>
        <w:bottom w:val="none" w:sz="0" w:space="0" w:color="auto"/>
        <w:right w:val="none" w:sz="0" w:space="0" w:color="auto"/>
      </w:divBdr>
    </w:div>
    <w:div w:id="723988603">
      <w:bodyDiv w:val="1"/>
      <w:marLeft w:val="0"/>
      <w:marRight w:val="0"/>
      <w:marTop w:val="0"/>
      <w:marBottom w:val="0"/>
      <w:divBdr>
        <w:top w:val="none" w:sz="0" w:space="0" w:color="auto"/>
        <w:left w:val="none" w:sz="0" w:space="0" w:color="auto"/>
        <w:bottom w:val="none" w:sz="0" w:space="0" w:color="auto"/>
        <w:right w:val="none" w:sz="0" w:space="0" w:color="auto"/>
      </w:divBdr>
    </w:div>
    <w:div w:id="807016471">
      <w:bodyDiv w:val="1"/>
      <w:marLeft w:val="0"/>
      <w:marRight w:val="0"/>
      <w:marTop w:val="0"/>
      <w:marBottom w:val="0"/>
      <w:divBdr>
        <w:top w:val="none" w:sz="0" w:space="0" w:color="auto"/>
        <w:left w:val="none" w:sz="0" w:space="0" w:color="auto"/>
        <w:bottom w:val="none" w:sz="0" w:space="0" w:color="auto"/>
        <w:right w:val="none" w:sz="0" w:space="0" w:color="auto"/>
      </w:divBdr>
    </w:div>
    <w:div w:id="911239439">
      <w:bodyDiv w:val="1"/>
      <w:marLeft w:val="0"/>
      <w:marRight w:val="0"/>
      <w:marTop w:val="0"/>
      <w:marBottom w:val="0"/>
      <w:divBdr>
        <w:top w:val="none" w:sz="0" w:space="0" w:color="auto"/>
        <w:left w:val="none" w:sz="0" w:space="0" w:color="auto"/>
        <w:bottom w:val="none" w:sz="0" w:space="0" w:color="auto"/>
        <w:right w:val="none" w:sz="0" w:space="0" w:color="auto"/>
      </w:divBdr>
    </w:div>
    <w:div w:id="1616600760">
      <w:bodyDiv w:val="1"/>
      <w:marLeft w:val="0"/>
      <w:marRight w:val="0"/>
      <w:marTop w:val="0"/>
      <w:marBottom w:val="0"/>
      <w:divBdr>
        <w:top w:val="none" w:sz="0" w:space="0" w:color="auto"/>
        <w:left w:val="none" w:sz="0" w:space="0" w:color="auto"/>
        <w:bottom w:val="none" w:sz="0" w:space="0" w:color="auto"/>
        <w:right w:val="none" w:sz="0" w:space="0" w:color="auto"/>
      </w:divBdr>
      <w:divsChild>
        <w:div w:id="1214460931">
          <w:marLeft w:val="0"/>
          <w:marRight w:val="0"/>
          <w:marTop w:val="0"/>
          <w:marBottom w:val="0"/>
          <w:divBdr>
            <w:top w:val="none" w:sz="0" w:space="0" w:color="auto"/>
            <w:left w:val="none" w:sz="0" w:space="0" w:color="auto"/>
            <w:bottom w:val="none" w:sz="0" w:space="0" w:color="auto"/>
            <w:right w:val="none" w:sz="0" w:space="0" w:color="auto"/>
          </w:divBdr>
          <w:divsChild>
            <w:div w:id="2014991678">
              <w:marLeft w:val="0"/>
              <w:marRight w:val="0"/>
              <w:marTop w:val="0"/>
              <w:marBottom w:val="0"/>
              <w:divBdr>
                <w:top w:val="none" w:sz="0" w:space="0" w:color="auto"/>
                <w:left w:val="none" w:sz="0" w:space="0" w:color="auto"/>
                <w:bottom w:val="none" w:sz="0" w:space="0" w:color="auto"/>
                <w:right w:val="none" w:sz="0" w:space="0" w:color="auto"/>
              </w:divBdr>
              <w:divsChild>
                <w:div w:id="288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0135">
      <w:bodyDiv w:val="1"/>
      <w:marLeft w:val="0"/>
      <w:marRight w:val="0"/>
      <w:marTop w:val="0"/>
      <w:marBottom w:val="0"/>
      <w:divBdr>
        <w:top w:val="none" w:sz="0" w:space="0" w:color="auto"/>
        <w:left w:val="none" w:sz="0" w:space="0" w:color="auto"/>
        <w:bottom w:val="none" w:sz="0" w:space="0" w:color="auto"/>
        <w:right w:val="none" w:sz="0" w:space="0" w:color="auto"/>
      </w:divBdr>
      <w:divsChild>
        <w:div w:id="151160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4352</Words>
  <Characters>2481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Ольга І. Кравченко</cp:lastModifiedBy>
  <cp:revision>3</cp:revision>
  <dcterms:created xsi:type="dcterms:W3CDTF">2022-06-27T05:47:00Z</dcterms:created>
  <dcterms:modified xsi:type="dcterms:W3CDTF">2022-06-27T05:55:00Z</dcterms:modified>
</cp:coreProperties>
</file>