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575657" w:rsidRPr="006D6A2D" w:rsidRDefault="00AE7F65" w:rsidP="00F61006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D6A2D" w:rsidRPr="001D21E2">
        <w:rPr>
          <w:szCs w:val="28"/>
        </w:rPr>
        <w:t xml:space="preserve">Публічного акціонерного товариства „Українська інноваційна компанія“ щодо відповідності Конституції України (конституційності) </w:t>
      </w:r>
      <w:r w:rsidR="006D6A2D">
        <w:rPr>
          <w:szCs w:val="28"/>
        </w:rPr>
        <w:t xml:space="preserve">частини четвертої </w:t>
      </w:r>
      <w:r w:rsidR="006D6A2D" w:rsidRPr="001D21E2">
        <w:rPr>
          <w:szCs w:val="28"/>
        </w:rPr>
        <w:t xml:space="preserve">статті 75, частини першої статті 300 Господарського процесуального кодексу України, </w:t>
      </w:r>
      <w:r w:rsidR="006D6A2D">
        <w:rPr>
          <w:szCs w:val="28"/>
        </w:rPr>
        <w:t>першого речення абзацу першого, другого речення абзацу другого частини третьої, частин четвертої, п’ятої статті 34</w:t>
      </w:r>
      <w:r w:rsidR="006D6A2D" w:rsidRPr="001D21E2">
        <w:rPr>
          <w:szCs w:val="28"/>
        </w:rPr>
        <w:t xml:space="preserve">, </w:t>
      </w:r>
      <w:r w:rsidR="006D6A2D">
        <w:rPr>
          <w:szCs w:val="28"/>
        </w:rPr>
        <w:t xml:space="preserve">другого речення частини першої статті </w:t>
      </w:r>
      <w:r w:rsidR="006D6A2D" w:rsidRPr="001D21E2">
        <w:rPr>
          <w:szCs w:val="28"/>
        </w:rPr>
        <w:t xml:space="preserve">36, частин четвертої, п’ятої статті 44, пунктів 1, 2 частини першої статті 48 Закону України „Про систему гарантування вкладів </w:t>
      </w:r>
      <w:r w:rsidR="00F61006">
        <w:rPr>
          <w:szCs w:val="28"/>
        </w:rPr>
        <w:br/>
      </w:r>
      <w:r w:rsidR="00F61006">
        <w:rPr>
          <w:szCs w:val="28"/>
        </w:rPr>
        <w:tab/>
      </w:r>
      <w:r w:rsidR="00F61006">
        <w:rPr>
          <w:szCs w:val="28"/>
        </w:rPr>
        <w:tab/>
      </w:r>
      <w:r w:rsidR="00F61006">
        <w:rPr>
          <w:szCs w:val="28"/>
        </w:rPr>
        <w:tab/>
      </w:r>
      <w:r w:rsidR="00F61006">
        <w:rPr>
          <w:szCs w:val="28"/>
        </w:rPr>
        <w:tab/>
        <w:t xml:space="preserve">    </w:t>
      </w:r>
      <w:r w:rsidR="006D6A2D" w:rsidRPr="001D21E2">
        <w:rPr>
          <w:szCs w:val="28"/>
        </w:rPr>
        <w:t>фізичних осіб“</w:t>
      </w:r>
    </w:p>
    <w:p w:rsidR="006D6A2D" w:rsidRDefault="006D6A2D" w:rsidP="00F61006">
      <w:pPr>
        <w:pStyle w:val="a4"/>
        <w:ind w:firstLine="0"/>
        <w:rPr>
          <w:szCs w:val="28"/>
        </w:rPr>
      </w:pPr>
    </w:p>
    <w:p w:rsidR="00F61006" w:rsidRDefault="00F61006" w:rsidP="00F61006">
      <w:pPr>
        <w:pStyle w:val="a4"/>
        <w:ind w:firstLine="0"/>
        <w:rPr>
          <w:szCs w:val="28"/>
        </w:rPr>
      </w:pPr>
    </w:p>
    <w:p w:rsidR="00EE3217" w:rsidRDefault="00EE3217" w:rsidP="00F61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1006">
        <w:rPr>
          <w:rFonts w:ascii="Times New Roman" w:hAnsi="Times New Roman"/>
          <w:sz w:val="28"/>
          <w:szCs w:val="28"/>
        </w:rPr>
        <w:t xml:space="preserve">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7F5FE3">
        <w:rPr>
          <w:rFonts w:ascii="Times New Roman" w:hAnsi="Times New Roman"/>
          <w:sz w:val="28"/>
          <w:szCs w:val="28"/>
        </w:rPr>
        <w:t>82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7F5FE3">
        <w:rPr>
          <w:rFonts w:ascii="Times New Roman" w:hAnsi="Times New Roman"/>
          <w:sz w:val="28"/>
          <w:szCs w:val="28"/>
        </w:rPr>
        <w:t>193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BB6041" w:rsidP="00F61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D6A2D">
        <w:rPr>
          <w:rFonts w:ascii="Times New Roman" w:hAnsi="Times New Roman"/>
          <w:sz w:val="28"/>
          <w:szCs w:val="28"/>
        </w:rPr>
        <w:t xml:space="preserve"> жовтня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F61006" w:rsidP="00F61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B6041">
        <w:rPr>
          <w:rFonts w:ascii="Times New Roman" w:hAnsi="Times New Roman"/>
          <w:sz w:val="28"/>
          <w:szCs w:val="28"/>
        </w:rPr>
        <w:t>549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F6100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61006" w:rsidRDefault="00F61006" w:rsidP="00F6100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D6A2D" w:rsidRDefault="006D6A2D" w:rsidP="00F6100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D6A2D" w:rsidRDefault="006D6A2D" w:rsidP="00F6100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D6A2D" w:rsidRDefault="006D6A2D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2791" w:rsidRDefault="00AE7F65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D6A2D" w:rsidRPr="006D6A2D">
        <w:rPr>
          <w:rFonts w:ascii="Times New Roman" w:hAnsi="Times New Roman" w:cs="Times New Roman"/>
          <w:sz w:val="28"/>
          <w:szCs w:val="28"/>
        </w:rPr>
        <w:t>Публічного акціонерного товариства „Українська інноваційна компанія“ щодо відповідності Конституції України (конституційност</w:t>
      </w:r>
      <w:r w:rsidR="00F61006">
        <w:rPr>
          <w:rFonts w:ascii="Times New Roman" w:hAnsi="Times New Roman" w:cs="Times New Roman"/>
          <w:sz w:val="28"/>
          <w:szCs w:val="28"/>
        </w:rPr>
        <w:t>і) частини четвертої статті 75,</w:t>
      </w:r>
      <w:r w:rsidR="00F61006">
        <w:rPr>
          <w:rFonts w:ascii="Times New Roman" w:hAnsi="Times New Roman" w:cs="Times New Roman"/>
          <w:sz w:val="28"/>
          <w:szCs w:val="28"/>
        </w:rPr>
        <w:br/>
      </w:r>
      <w:r w:rsidR="006D6A2D" w:rsidRPr="006D6A2D">
        <w:rPr>
          <w:rFonts w:ascii="Times New Roman" w:hAnsi="Times New Roman" w:cs="Times New Roman"/>
          <w:sz w:val="28"/>
          <w:szCs w:val="28"/>
        </w:rPr>
        <w:t xml:space="preserve">частини першої статті 300 Господарського процесуального кодексу України, першого речення абзацу першого, другого речення абзацу другого </w:t>
      </w:r>
      <w:r w:rsidR="00870C73">
        <w:rPr>
          <w:rFonts w:ascii="Times New Roman" w:hAnsi="Times New Roman" w:cs="Times New Roman"/>
          <w:sz w:val="28"/>
          <w:szCs w:val="28"/>
        </w:rPr>
        <w:br/>
      </w:r>
      <w:r w:rsidR="006D6A2D" w:rsidRPr="006D6A2D">
        <w:rPr>
          <w:rFonts w:ascii="Times New Roman" w:hAnsi="Times New Roman" w:cs="Times New Roman"/>
          <w:sz w:val="28"/>
          <w:szCs w:val="28"/>
        </w:rPr>
        <w:t xml:space="preserve">частини третьої, частин четвертої, п’ятої статті 34, другого речення </w:t>
      </w:r>
      <w:r w:rsidR="00870C73">
        <w:rPr>
          <w:rFonts w:ascii="Times New Roman" w:hAnsi="Times New Roman" w:cs="Times New Roman"/>
          <w:sz w:val="28"/>
          <w:szCs w:val="28"/>
        </w:rPr>
        <w:br/>
      </w:r>
      <w:r w:rsidR="006D6A2D" w:rsidRPr="006D6A2D">
        <w:rPr>
          <w:rFonts w:ascii="Times New Roman" w:hAnsi="Times New Roman" w:cs="Times New Roman"/>
          <w:sz w:val="28"/>
          <w:szCs w:val="28"/>
        </w:rPr>
        <w:t xml:space="preserve">частини першої статті 36, частин четвертої, п’ятої статті 44, пунктів 1, 2 </w:t>
      </w:r>
      <w:r w:rsidR="00870C73">
        <w:rPr>
          <w:rFonts w:ascii="Times New Roman" w:hAnsi="Times New Roman" w:cs="Times New Roman"/>
          <w:sz w:val="28"/>
          <w:szCs w:val="28"/>
        </w:rPr>
        <w:br/>
      </w:r>
      <w:r w:rsidR="006D6A2D" w:rsidRPr="006D6A2D">
        <w:rPr>
          <w:rFonts w:ascii="Times New Roman" w:hAnsi="Times New Roman" w:cs="Times New Roman"/>
          <w:sz w:val="28"/>
          <w:szCs w:val="28"/>
        </w:rPr>
        <w:t>частини першої статті 48 Закону України „Про систему гарантування вкладів фізичних осіб“</w:t>
      </w:r>
      <w:r w:rsidR="006D6A2D">
        <w:rPr>
          <w:rFonts w:ascii="Times New Roman" w:hAnsi="Times New Roman" w:cs="Times New Roman"/>
          <w:sz w:val="28"/>
          <w:szCs w:val="28"/>
        </w:rPr>
        <w:t>.</w:t>
      </w:r>
    </w:p>
    <w:p w:rsidR="006D6A2D" w:rsidRDefault="006D6A2D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F61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61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06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 xml:space="preserve">колегією </w:t>
      </w:r>
      <w:r w:rsidRPr="00201ABF">
        <w:rPr>
          <w:rFonts w:ascii="Times New Roman" w:hAnsi="Times New Roman" w:cs="Times New Roman"/>
          <w:sz w:val="28"/>
          <w:szCs w:val="28"/>
        </w:rPr>
        <w:lastRenderedPageBreak/>
        <w:t>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C73" w:rsidRPr="006D6A2D">
        <w:rPr>
          <w:rFonts w:ascii="Times New Roman" w:hAnsi="Times New Roman" w:cs="Times New Roman"/>
          <w:sz w:val="28"/>
          <w:szCs w:val="28"/>
        </w:rPr>
        <w:t xml:space="preserve">Публічного акціонерного товариства „Українська інноваційна компанія“ щодо відповідності Конституції України (конституційності) частини четвертої статті 75, частини першої статті 300 Господарського процесуального кодексу України, першого речення </w:t>
      </w:r>
      <w:r w:rsidR="00870C73">
        <w:rPr>
          <w:rFonts w:ascii="Times New Roman" w:hAnsi="Times New Roman" w:cs="Times New Roman"/>
          <w:sz w:val="28"/>
          <w:szCs w:val="28"/>
        </w:rPr>
        <w:br/>
      </w:r>
      <w:r w:rsidR="00870C73" w:rsidRPr="006D6A2D">
        <w:rPr>
          <w:rFonts w:ascii="Times New Roman" w:hAnsi="Times New Roman" w:cs="Times New Roman"/>
          <w:sz w:val="28"/>
          <w:szCs w:val="28"/>
        </w:rPr>
        <w:t xml:space="preserve">абзацу першого, другого речення абзацу другого частини третьої, </w:t>
      </w:r>
      <w:r w:rsidR="00870C73">
        <w:rPr>
          <w:rFonts w:ascii="Times New Roman" w:hAnsi="Times New Roman" w:cs="Times New Roman"/>
          <w:sz w:val="28"/>
          <w:szCs w:val="28"/>
        </w:rPr>
        <w:br/>
      </w:r>
      <w:r w:rsidR="00602939">
        <w:rPr>
          <w:rFonts w:ascii="Times New Roman" w:hAnsi="Times New Roman" w:cs="Times New Roman"/>
          <w:sz w:val="28"/>
          <w:szCs w:val="28"/>
        </w:rPr>
        <w:t xml:space="preserve">частин </w:t>
      </w:r>
      <w:r w:rsidR="00870C73" w:rsidRPr="006D6A2D">
        <w:rPr>
          <w:rFonts w:ascii="Times New Roman" w:hAnsi="Times New Roman" w:cs="Times New Roman"/>
          <w:sz w:val="28"/>
          <w:szCs w:val="28"/>
        </w:rPr>
        <w:t xml:space="preserve">четвертої, п’ятої статті 34, другого речення частини першої статті 36, </w:t>
      </w:r>
      <w:r w:rsidR="00870C73">
        <w:rPr>
          <w:rFonts w:ascii="Times New Roman" w:hAnsi="Times New Roman" w:cs="Times New Roman"/>
          <w:sz w:val="28"/>
          <w:szCs w:val="28"/>
        </w:rPr>
        <w:br/>
      </w:r>
      <w:r w:rsidR="00870C73" w:rsidRPr="006D6A2D">
        <w:rPr>
          <w:rFonts w:ascii="Times New Roman" w:hAnsi="Times New Roman" w:cs="Times New Roman"/>
          <w:sz w:val="28"/>
          <w:szCs w:val="28"/>
        </w:rPr>
        <w:t>частин четвертої, п’ятої статті 44, пунктів 1, 2 частини першої статті 48 Закону України „Про систему гарантування вкладів фізичних осіб“</w:t>
      </w:r>
      <w:r w:rsidR="00620B2F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574B9E">
        <w:rPr>
          <w:rFonts w:ascii="Times New Roman" w:hAnsi="Times New Roman" w:cs="Times New Roman"/>
          <w:sz w:val="28"/>
          <w:szCs w:val="28"/>
        </w:rPr>
        <w:br/>
        <w:t>27 вересня</w:t>
      </w:r>
      <w:r w:rsidR="00F61359">
        <w:rPr>
          <w:rFonts w:ascii="Times New Roman" w:hAnsi="Times New Roman" w:cs="Times New Roman"/>
          <w:sz w:val="28"/>
          <w:szCs w:val="28"/>
        </w:rPr>
        <w:t xml:space="preserve">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61006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B9E" w:rsidRDefault="00C64C22" w:rsidP="00F6100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41">
        <w:rPr>
          <w:rFonts w:ascii="Times New Roman" w:hAnsi="Times New Roman" w:cs="Times New Roman"/>
          <w:sz w:val="28"/>
          <w:szCs w:val="28"/>
        </w:rPr>
        <w:t>10</w:t>
      </w:r>
      <w:r w:rsidR="00574B9E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9E" w:rsidRPr="006D6A2D">
        <w:rPr>
          <w:rFonts w:ascii="Times New Roman" w:hAnsi="Times New Roman" w:cs="Times New Roman"/>
          <w:sz w:val="28"/>
          <w:szCs w:val="28"/>
        </w:rPr>
        <w:t xml:space="preserve">Публічного акціонерного товариства „Українська інноваційна компанія“ щодо відповідності Конституції України (конституційності) частини четвертої статті 75, частини першої статті 300 Господарського процесуального кодексу України, першого речення </w:t>
      </w:r>
      <w:r w:rsidR="00574B9E">
        <w:rPr>
          <w:rFonts w:ascii="Times New Roman" w:hAnsi="Times New Roman" w:cs="Times New Roman"/>
          <w:sz w:val="28"/>
          <w:szCs w:val="28"/>
        </w:rPr>
        <w:br/>
      </w:r>
      <w:r w:rsidR="00574B9E" w:rsidRPr="006D6A2D">
        <w:rPr>
          <w:rFonts w:ascii="Times New Roman" w:hAnsi="Times New Roman" w:cs="Times New Roman"/>
          <w:sz w:val="28"/>
          <w:szCs w:val="28"/>
        </w:rPr>
        <w:t xml:space="preserve">абзацу першого, другого речення абзацу другого частини третьої, </w:t>
      </w:r>
      <w:r w:rsidR="00574B9E">
        <w:rPr>
          <w:rFonts w:ascii="Times New Roman" w:hAnsi="Times New Roman" w:cs="Times New Roman"/>
          <w:sz w:val="28"/>
          <w:szCs w:val="28"/>
        </w:rPr>
        <w:br/>
      </w:r>
      <w:r w:rsidR="00574B9E" w:rsidRPr="006D6A2D">
        <w:rPr>
          <w:rFonts w:ascii="Times New Roman" w:hAnsi="Times New Roman" w:cs="Times New Roman"/>
          <w:sz w:val="28"/>
          <w:szCs w:val="28"/>
        </w:rPr>
        <w:lastRenderedPageBreak/>
        <w:t>частин четвертої, п’ятої статті 34, другого речення частини першої статті 36, частин четвертої, п’ятої статті 44, пунктів 1, 2 частини першої статті 48 Закону України „Про систему гарантування вкладів фізичних осіб“</w:t>
      </w:r>
      <w:r w:rsidR="00574B9E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006" w:rsidRDefault="00F61006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006" w:rsidRDefault="00F61006" w:rsidP="00F61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31C" w:rsidRPr="00C22FBE" w:rsidRDefault="00CC231C" w:rsidP="00CC231C">
      <w:pPr>
        <w:pStyle w:val="ac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C22F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61006" w:rsidRDefault="00CC231C" w:rsidP="00CC231C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C22F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61006" w:rsidSect="00F6100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06" w:rsidRDefault="00F61006" w:rsidP="00F61006">
      <w:r>
        <w:separator/>
      </w:r>
    </w:p>
  </w:endnote>
  <w:endnote w:type="continuationSeparator" w:id="0">
    <w:p w:rsidR="00F61006" w:rsidRDefault="00F61006" w:rsidP="00F6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06" w:rsidRPr="00F61006" w:rsidRDefault="00F61006">
    <w:pPr>
      <w:pStyle w:val="aa"/>
      <w:rPr>
        <w:rFonts w:ascii="Times New Roman" w:hAnsi="Times New Roman" w:cs="Times New Roman"/>
        <w:sz w:val="10"/>
        <w:szCs w:val="10"/>
      </w:rPr>
    </w:pPr>
    <w:r w:rsidRPr="00F61006">
      <w:rPr>
        <w:rFonts w:ascii="Times New Roman" w:hAnsi="Times New Roman" w:cs="Times New Roman"/>
        <w:sz w:val="10"/>
        <w:szCs w:val="10"/>
      </w:rPr>
      <w:fldChar w:fldCharType="begin"/>
    </w:r>
    <w:r w:rsidRPr="00F6100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61006">
      <w:rPr>
        <w:rFonts w:ascii="Times New Roman" w:hAnsi="Times New Roman" w:cs="Times New Roman"/>
        <w:sz w:val="10"/>
        <w:szCs w:val="10"/>
      </w:rPr>
      <w:fldChar w:fldCharType="separate"/>
    </w:r>
    <w:r w:rsidR="00CC231C">
      <w:rPr>
        <w:rFonts w:ascii="Times New Roman" w:hAnsi="Times New Roman" w:cs="Times New Roman"/>
        <w:noProof/>
        <w:sz w:val="10"/>
        <w:szCs w:val="10"/>
      </w:rPr>
      <w:t>G:\2022\Suddi\Uhvala VP\558.docx</w:t>
    </w:r>
    <w:r w:rsidRPr="00F610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06" w:rsidRPr="00F61006" w:rsidRDefault="00F61006">
    <w:pPr>
      <w:pStyle w:val="aa"/>
      <w:rPr>
        <w:rFonts w:ascii="Times New Roman" w:hAnsi="Times New Roman" w:cs="Times New Roman"/>
        <w:sz w:val="10"/>
        <w:szCs w:val="10"/>
      </w:rPr>
    </w:pPr>
    <w:r w:rsidRPr="00F61006">
      <w:rPr>
        <w:rFonts w:ascii="Times New Roman" w:hAnsi="Times New Roman" w:cs="Times New Roman"/>
        <w:sz w:val="10"/>
        <w:szCs w:val="10"/>
      </w:rPr>
      <w:fldChar w:fldCharType="begin"/>
    </w:r>
    <w:r w:rsidRPr="00F6100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61006">
      <w:rPr>
        <w:rFonts w:ascii="Times New Roman" w:hAnsi="Times New Roman" w:cs="Times New Roman"/>
        <w:sz w:val="10"/>
        <w:szCs w:val="10"/>
      </w:rPr>
      <w:fldChar w:fldCharType="separate"/>
    </w:r>
    <w:r w:rsidR="00CC231C">
      <w:rPr>
        <w:rFonts w:ascii="Times New Roman" w:hAnsi="Times New Roman" w:cs="Times New Roman"/>
        <w:noProof/>
        <w:sz w:val="10"/>
        <w:szCs w:val="10"/>
      </w:rPr>
      <w:t>G:\2022\Suddi\Uhvala VP\558.docx</w:t>
    </w:r>
    <w:r w:rsidRPr="00F610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06" w:rsidRDefault="00F61006" w:rsidP="00F61006">
      <w:r>
        <w:separator/>
      </w:r>
    </w:p>
  </w:footnote>
  <w:footnote w:type="continuationSeparator" w:id="0">
    <w:p w:rsidR="00F61006" w:rsidRDefault="00F61006" w:rsidP="00F6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6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1006" w:rsidRPr="00F61006" w:rsidRDefault="00F61006">
        <w:pPr>
          <w:pStyle w:val="a8"/>
          <w:jc w:val="center"/>
          <w:rPr>
            <w:sz w:val="28"/>
            <w:szCs w:val="28"/>
          </w:rPr>
        </w:pPr>
        <w:r w:rsidRPr="00F61006">
          <w:rPr>
            <w:sz w:val="28"/>
            <w:szCs w:val="28"/>
          </w:rPr>
          <w:fldChar w:fldCharType="begin"/>
        </w:r>
        <w:r w:rsidRPr="00F61006">
          <w:rPr>
            <w:sz w:val="28"/>
            <w:szCs w:val="28"/>
          </w:rPr>
          <w:instrText>PAGE   \* MERGEFORMAT</w:instrText>
        </w:r>
        <w:r w:rsidRPr="00F61006">
          <w:rPr>
            <w:sz w:val="28"/>
            <w:szCs w:val="28"/>
          </w:rPr>
          <w:fldChar w:fldCharType="separate"/>
        </w:r>
        <w:r w:rsidR="00CC231C">
          <w:rPr>
            <w:noProof/>
            <w:sz w:val="28"/>
            <w:szCs w:val="28"/>
          </w:rPr>
          <w:t>4</w:t>
        </w:r>
        <w:r w:rsidRPr="00F6100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A7E83"/>
    <w:rsid w:val="000B5974"/>
    <w:rsid w:val="000C2266"/>
    <w:rsid w:val="001174F9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0231A"/>
    <w:rsid w:val="00545C00"/>
    <w:rsid w:val="00554209"/>
    <w:rsid w:val="00574B9E"/>
    <w:rsid w:val="00575657"/>
    <w:rsid w:val="005A145A"/>
    <w:rsid w:val="005B4A5D"/>
    <w:rsid w:val="005B4CB2"/>
    <w:rsid w:val="005C2791"/>
    <w:rsid w:val="005F4362"/>
    <w:rsid w:val="00602939"/>
    <w:rsid w:val="00612BE2"/>
    <w:rsid w:val="00620B2F"/>
    <w:rsid w:val="00652146"/>
    <w:rsid w:val="00655BA0"/>
    <w:rsid w:val="00676160"/>
    <w:rsid w:val="006843D6"/>
    <w:rsid w:val="006D6A2D"/>
    <w:rsid w:val="007560FE"/>
    <w:rsid w:val="007B5165"/>
    <w:rsid w:val="007D203C"/>
    <w:rsid w:val="007D5E46"/>
    <w:rsid w:val="007E1E9F"/>
    <w:rsid w:val="007F5FE3"/>
    <w:rsid w:val="008254F2"/>
    <w:rsid w:val="00841749"/>
    <w:rsid w:val="00842FE2"/>
    <w:rsid w:val="00870C73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C7206"/>
    <w:rsid w:val="00AE7F65"/>
    <w:rsid w:val="00AF57E8"/>
    <w:rsid w:val="00B449F1"/>
    <w:rsid w:val="00B71203"/>
    <w:rsid w:val="00B74B8A"/>
    <w:rsid w:val="00B76A20"/>
    <w:rsid w:val="00BB1A82"/>
    <w:rsid w:val="00BB1E0B"/>
    <w:rsid w:val="00BB6041"/>
    <w:rsid w:val="00BB6457"/>
    <w:rsid w:val="00BF33A0"/>
    <w:rsid w:val="00BF411A"/>
    <w:rsid w:val="00C64C22"/>
    <w:rsid w:val="00CA7A1E"/>
    <w:rsid w:val="00CC231C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B2421"/>
    <w:rsid w:val="00EC44A0"/>
    <w:rsid w:val="00EE3217"/>
    <w:rsid w:val="00EE53E4"/>
    <w:rsid w:val="00EF261E"/>
    <w:rsid w:val="00EF47A5"/>
    <w:rsid w:val="00F26EE1"/>
    <w:rsid w:val="00F37E2D"/>
    <w:rsid w:val="00F54AE4"/>
    <w:rsid w:val="00F61006"/>
    <w:rsid w:val="00F61359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2E9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00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61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610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F61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6100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61006"/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CC2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2022-11-09T07:44:00Z</cp:lastPrinted>
  <dcterms:created xsi:type="dcterms:W3CDTF">2022-10-13T10:20:00Z</dcterms:created>
  <dcterms:modified xsi:type="dcterms:W3CDTF">2022-11-09T07:44:00Z</dcterms:modified>
</cp:coreProperties>
</file>