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59" w:rsidRDefault="007B0859" w:rsidP="00813D8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E09F2" w:rsidRDefault="009E09F2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D21C7B" w:rsidRDefault="0092671F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</w:t>
      </w:r>
      <w:r w:rsidR="00DD224C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Верховного Суду щодо відповідності Конституції України (конституційності) пункту 11 частини першої статті 34, </w:t>
      </w:r>
      <w:r w:rsidR="00DD224C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>пункту 10</w:t>
      </w:r>
      <w:r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>
        <w:rPr>
          <w:rFonts w:cs="Times New Roman"/>
          <w:b/>
          <w:sz w:val="28"/>
          <w:szCs w:val="28"/>
          <w:lang w:val="uk-UA"/>
        </w:rPr>
        <w:t xml:space="preserve"> розділу </w:t>
      </w:r>
      <w:r>
        <w:rPr>
          <w:rFonts w:cs="Times New Roman"/>
          <w:b/>
          <w:sz w:val="28"/>
          <w:szCs w:val="28"/>
          <w:lang w:val="en-US"/>
        </w:rPr>
        <w:t>XIII</w:t>
      </w:r>
      <w:r>
        <w:rPr>
          <w:rFonts w:cs="Times New Roman"/>
          <w:b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>
        <w:rPr>
          <w:rFonts w:cs="Times New Roman"/>
          <w:b/>
          <w:sz w:val="28"/>
          <w:szCs w:val="28"/>
          <w:lang w:val="uk-UA"/>
        </w:rPr>
        <w:t>, 5</w:t>
      </w:r>
      <w:r>
        <w:rPr>
          <w:rFonts w:cs="Times New Roman"/>
          <w:b/>
          <w:sz w:val="28"/>
          <w:szCs w:val="28"/>
          <w:vertAlign w:val="superscript"/>
          <w:lang w:val="uk-UA"/>
        </w:rPr>
        <w:t>2</w:t>
      </w:r>
      <w:r>
        <w:rPr>
          <w:rFonts w:cs="Times New Roman"/>
          <w:b/>
          <w:sz w:val="28"/>
          <w:szCs w:val="28"/>
          <w:lang w:val="uk-UA"/>
        </w:rPr>
        <w:t xml:space="preserve"> розділу </w:t>
      </w:r>
      <w:r>
        <w:rPr>
          <w:rFonts w:cs="Times New Roman"/>
          <w:b/>
          <w:sz w:val="28"/>
          <w:szCs w:val="28"/>
          <w:lang w:val="en-US"/>
        </w:rPr>
        <w:t>III</w:t>
      </w:r>
      <w:r>
        <w:rPr>
          <w:rFonts w:cs="Times New Roman"/>
          <w:b/>
          <w:sz w:val="28"/>
          <w:szCs w:val="28"/>
          <w:lang w:val="uk-UA"/>
        </w:rPr>
        <w:t xml:space="preserve"> „Перехідні та прикінцеві положення“ </w:t>
      </w:r>
      <w:r w:rsidR="00DD224C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>Закону України „Про особливості утворення акціонерного товариства зал</w:t>
      </w:r>
      <w:r w:rsidR="00DD224C">
        <w:rPr>
          <w:rFonts w:cs="Times New Roman"/>
          <w:b/>
          <w:sz w:val="28"/>
          <w:szCs w:val="28"/>
          <w:lang w:val="uk-UA"/>
        </w:rPr>
        <w:t xml:space="preserve">ізничного транспорту загального </w:t>
      </w:r>
      <w:r>
        <w:rPr>
          <w:rFonts w:cs="Times New Roman"/>
          <w:b/>
          <w:sz w:val="28"/>
          <w:szCs w:val="28"/>
          <w:lang w:val="uk-UA"/>
        </w:rPr>
        <w:t>користування“</w:t>
      </w:r>
    </w:p>
    <w:p w:rsidR="00D21C7B" w:rsidRPr="009E09F2" w:rsidRDefault="00D21C7B" w:rsidP="00813D83">
      <w:pPr>
        <w:ind w:left="709" w:right="1134"/>
        <w:jc w:val="both"/>
        <w:rPr>
          <w:rFonts w:cs="Times New Roman"/>
          <w:b/>
          <w:highlight w:val="yellow"/>
          <w:lang w:val="uk-UA"/>
        </w:rPr>
      </w:pPr>
    </w:p>
    <w:p w:rsidR="00D21C7B" w:rsidRDefault="0092671F" w:rsidP="00813D8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м. К и ї в</w:t>
      </w:r>
      <w:r w:rsidR="00DD224C">
        <w:rPr>
          <w:rFonts w:cs="Times New Roman"/>
          <w:sz w:val="28"/>
          <w:szCs w:val="28"/>
          <w:lang w:val="uk-UA"/>
        </w:rPr>
        <w:tab/>
      </w:r>
      <w:r w:rsidR="00DD224C">
        <w:rPr>
          <w:rFonts w:cs="Times New Roman"/>
          <w:sz w:val="28"/>
          <w:szCs w:val="28"/>
          <w:lang w:val="uk-UA"/>
        </w:rPr>
        <w:tab/>
      </w:r>
      <w:r w:rsidR="00DD224C">
        <w:rPr>
          <w:rFonts w:cs="Times New Roman"/>
          <w:sz w:val="28"/>
          <w:szCs w:val="28"/>
          <w:lang w:val="uk-UA"/>
        </w:rPr>
        <w:tab/>
      </w:r>
      <w:r w:rsidR="00DD224C">
        <w:rPr>
          <w:rFonts w:cs="Times New Roman"/>
          <w:sz w:val="28"/>
          <w:szCs w:val="28"/>
          <w:lang w:val="uk-UA"/>
        </w:rPr>
        <w:tab/>
      </w:r>
      <w:r w:rsidR="00DD224C">
        <w:rPr>
          <w:rFonts w:cs="Times New Roman"/>
          <w:sz w:val="28"/>
          <w:szCs w:val="28"/>
          <w:lang w:val="uk-UA"/>
        </w:rPr>
        <w:tab/>
      </w:r>
      <w:r w:rsidR="00DD224C">
        <w:rPr>
          <w:rFonts w:cs="Times New Roman"/>
          <w:sz w:val="28"/>
          <w:szCs w:val="28"/>
          <w:lang w:val="uk-UA"/>
        </w:rPr>
        <w:tab/>
      </w:r>
      <w:r w:rsidR="00DD224C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Справа № 1-7/2021(461/21)</w:t>
      </w:r>
    </w:p>
    <w:p w:rsidR="00D21C7B" w:rsidRDefault="00813D83" w:rsidP="00813D8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 серпня </w:t>
      </w:r>
      <w:r w:rsidR="0092671F">
        <w:rPr>
          <w:rFonts w:cs="Times New Roman"/>
          <w:sz w:val="28"/>
          <w:szCs w:val="28"/>
          <w:lang w:val="uk-UA"/>
        </w:rPr>
        <w:t>2022 року</w:t>
      </w:r>
    </w:p>
    <w:p w:rsidR="00D21C7B" w:rsidRDefault="0092671F" w:rsidP="00813D8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813D83">
        <w:rPr>
          <w:rFonts w:cs="Times New Roman"/>
          <w:sz w:val="28"/>
          <w:szCs w:val="28"/>
          <w:lang w:val="uk-UA"/>
        </w:rPr>
        <w:t>430</w:t>
      </w:r>
      <w:r>
        <w:rPr>
          <w:rFonts w:cs="Times New Roman"/>
          <w:sz w:val="28"/>
          <w:szCs w:val="28"/>
          <w:lang w:val="uk-UA"/>
        </w:rPr>
        <w:t>-у/2022</w:t>
      </w:r>
    </w:p>
    <w:p w:rsidR="00D21C7B" w:rsidRPr="009E09F2" w:rsidRDefault="00D21C7B" w:rsidP="00813D83">
      <w:pPr>
        <w:jc w:val="both"/>
        <w:rPr>
          <w:rFonts w:cs="Times New Roman"/>
          <w:lang w:val="uk-UA"/>
        </w:rPr>
      </w:pPr>
    </w:p>
    <w:p w:rsidR="009E09F2" w:rsidRPr="009E09F2" w:rsidRDefault="009E09F2" w:rsidP="00813D83">
      <w:pPr>
        <w:jc w:val="both"/>
        <w:rPr>
          <w:rFonts w:cs="Times New Roman"/>
          <w:lang w:val="uk-UA"/>
        </w:rPr>
      </w:pPr>
    </w:p>
    <w:p w:rsidR="00D21C7B" w:rsidRDefault="0092671F" w:rsidP="00813D8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21C7B" w:rsidRPr="009E09F2" w:rsidRDefault="00D21C7B" w:rsidP="00813D83">
      <w:pPr>
        <w:ind w:firstLine="709"/>
        <w:jc w:val="both"/>
        <w:rPr>
          <w:rFonts w:cs="Times New Roman"/>
          <w:lang w:val="uk-UA"/>
        </w:rPr>
      </w:pP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Головатий Сергій Петрович (голова засідання),</w:t>
      </w:r>
    </w:p>
    <w:p w:rsidR="00813D83" w:rsidRPr="00415B54" w:rsidRDefault="00813D83" w:rsidP="00813D83">
      <w:pPr>
        <w:ind w:firstLine="709"/>
        <w:rPr>
          <w:sz w:val="28"/>
          <w:szCs w:val="28"/>
        </w:rPr>
      </w:pPr>
      <w:r w:rsidRPr="00415B54">
        <w:rPr>
          <w:sz w:val="28"/>
          <w:szCs w:val="28"/>
        </w:rPr>
        <w:t>Грищук Оксана Вікторівна,</w:t>
      </w: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Завгородня Ірина Миколаївна,</w:t>
      </w: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Кичун Віктор Іванович,</w:t>
      </w: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Колісник Віктор Павлович,</w:t>
      </w: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Кривенко Віктор Васильович,</w:t>
      </w: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Лемак Василь Васильович,</w:t>
      </w: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Мойсик Володимир Романович,</w:t>
      </w: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Первомайський Олег Олексійович,</w:t>
      </w:r>
    </w:p>
    <w:p w:rsidR="00813D83" w:rsidRPr="00415B54" w:rsidRDefault="00813D83" w:rsidP="00813D8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Філюк Петро Тодосьович,</w:t>
      </w:r>
    </w:p>
    <w:p w:rsidR="00813D83" w:rsidRPr="00415B54" w:rsidRDefault="00813D83" w:rsidP="00813D83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Юровська Галина Валентинівна,</w:t>
      </w:r>
    </w:p>
    <w:p w:rsidR="00813D83" w:rsidRPr="009F71D5" w:rsidRDefault="00813D83" w:rsidP="00813D8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21C7B" w:rsidRDefault="0092671F" w:rsidP="00DD224C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highlight w:val="yellow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провадження у справі за конституційним поданням 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розділу XIII „Прикінцеві та перехідні положення“ Закону України „Про виконавче провадження“, пунктів 5</w:t>
      </w:r>
      <w:r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>
        <w:rPr>
          <w:rFonts w:eastAsia="Times New Roman" w:cs="Times New Roman"/>
          <w:sz w:val="28"/>
          <w:szCs w:val="28"/>
          <w:lang w:val="uk-UA" w:bidi="ar-SA"/>
        </w:rPr>
        <w:t>, 5</w:t>
      </w:r>
      <w:r>
        <w:rPr>
          <w:rFonts w:eastAsia="Times New Roman" w:cs="Times New Roman"/>
          <w:sz w:val="28"/>
          <w:szCs w:val="28"/>
          <w:vertAlign w:val="superscript"/>
          <w:lang w:val="uk-UA" w:bidi="ar-SA"/>
        </w:rPr>
        <w:t>2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D21C7B" w:rsidRDefault="00D21C7B" w:rsidP="00DD224C">
      <w:pPr>
        <w:spacing w:line="360" w:lineRule="auto"/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D21C7B" w:rsidRDefault="0092671F" w:rsidP="00DD22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D21C7B" w:rsidRDefault="00D21C7B" w:rsidP="00DD224C">
      <w:pPr>
        <w:shd w:val="clear" w:color="auto" w:fill="FFFFFF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21C7B" w:rsidRDefault="0092671F" w:rsidP="00DD224C">
      <w:pPr>
        <w:shd w:val="clear" w:color="auto" w:fill="FFFFFF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D21C7B" w:rsidRDefault="00D21C7B" w:rsidP="00DD22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 w:rsidP="00DD22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21C7B" w:rsidRDefault="0092671F" w:rsidP="00DD22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18 січня</w:t>
      </w:r>
      <w:r>
        <w:rPr>
          <w:rFonts w:cs="Times New Roman"/>
          <w:sz w:val="28"/>
          <w:szCs w:val="28"/>
          <w:lang w:val="uk-UA"/>
        </w:rPr>
        <w:br/>
        <w:t xml:space="preserve">2022 року № 14-у/2022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 року № 93</w:t>
      </w:r>
      <w:r>
        <w:rPr>
          <w:rFonts w:cs="Times New Roman"/>
          <w:sz w:val="28"/>
          <w:szCs w:val="28"/>
          <w:lang w:val="uk-UA"/>
        </w:rPr>
        <w:t>-у/2022 подовжила до 22 березня 2022 року</w:t>
      </w:r>
      <w:r w:rsidR="00FB5F3C">
        <w:rPr>
          <w:rFonts w:cs="Times New Roman"/>
          <w:sz w:val="28"/>
          <w:szCs w:val="28"/>
          <w:lang w:val="uk-UA"/>
        </w:rPr>
        <w:t>,</w:t>
      </w:r>
      <w:r w:rsidR="00FB5F3C" w:rsidRPr="00FB5F3C">
        <w:t xml:space="preserve"> </w:t>
      </w:r>
      <w:r w:rsidR="00FB5F3C">
        <w:rPr>
          <w:rFonts w:cs="Times New Roman"/>
          <w:sz w:val="28"/>
          <w:szCs w:val="28"/>
          <w:lang w:val="uk-UA"/>
        </w:rPr>
        <w:t>від 5 квітня 2022 року № 214</w:t>
      </w:r>
      <w:r w:rsidR="00FB5F3C" w:rsidRPr="00FB5F3C">
        <w:rPr>
          <w:rFonts w:cs="Times New Roman"/>
          <w:sz w:val="28"/>
          <w:szCs w:val="28"/>
          <w:lang w:val="uk-UA"/>
        </w:rPr>
        <w:t>-у/2022 п</w:t>
      </w:r>
      <w:r w:rsidR="00FB5F3C">
        <w:rPr>
          <w:rFonts w:cs="Times New Roman"/>
          <w:sz w:val="28"/>
          <w:szCs w:val="28"/>
          <w:lang w:val="uk-UA"/>
        </w:rPr>
        <w:t>одовжила до 19 травня 2022 року</w:t>
      </w:r>
      <w:r w:rsidR="00A66988">
        <w:rPr>
          <w:rFonts w:cs="Times New Roman"/>
          <w:sz w:val="28"/>
          <w:szCs w:val="28"/>
          <w:lang w:val="uk-UA"/>
        </w:rPr>
        <w:t>,</w:t>
      </w:r>
      <w:r w:rsidR="00A66988" w:rsidRPr="00A66988">
        <w:rPr>
          <w:rFonts w:cs="Times New Roman"/>
          <w:sz w:val="28"/>
          <w:szCs w:val="28"/>
          <w:lang w:val="uk-UA"/>
        </w:rPr>
        <w:t xml:space="preserve"> </w:t>
      </w:r>
      <w:r w:rsidR="00A66988" w:rsidRPr="00725A8B">
        <w:rPr>
          <w:rFonts w:cs="Times New Roman"/>
          <w:sz w:val="28"/>
          <w:szCs w:val="28"/>
          <w:lang w:val="uk-UA"/>
        </w:rPr>
        <w:t xml:space="preserve">від </w:t>
      </w:r>
      <w:r w:rsidR="00A66988">
        <w:rPr>
          <w:rFonts w:cs="Times New Roman"/>
          <w:sz w:val="28"/>
          <w:szCs w:val="28"/>
          <w:lang w:val="uk-UA"/>
        </w:rPr>
        <w:t>17 травня</w:t>
      </w:r>
      <w:r w:rsidR="00A66988" w:rsidRPr="00725A8B">
        <w:rPr>
          <w:rFonts w:cs="Times New Roman"/>
          <w:sz w:val="28"/>
          <w:szCs w:val="28"/>
          <w:lang w:val="uk-UA"/>
        </w:rPr>
        <w:t xml:space="preserve"> 2022 року                           № </w:t>
      </w:r>
      <w:r w:rsidR="007825C0">
        <w:rPr>
          <w:rFonts w:cs="Times New Roman"/>
          <w:sz w:val="28"/>
          <w:szCs w:val="28"/>
          <w:lang w:val="uk-UA"/>
        </w:rPr>
        <w:t>249</w:t>
      </w:r>
      <w:r w:rsidR="00A66988" w:rsidRPr="00725A8B">
        <w:rPr>
          <w:rFonts w:cs="Times New Roman"/>
          <w:sz w:val="28"/>
          <w:szCs w:val="28"/>
          <w:lang w:val="uk-UA"/>
        </w:rPr>
        <w:t>-у/2022 п</w:t>
      </w:r>
      <w:r w:rsidR="00A66988">
        <w:rPr>
          <w:rFonts w:cs="Times New Roman"/>
          <w:sz w:val="28"/>
          <w:szCs w:val="28"/>
          <w:lang w:val="uk-UA"/>
        </w:rPr>
        <w:t>одовжила до 16 червня</w:t>
      </w:r>
      <w:r w:rsidR="00A66988" w:rsidRPr="00725A8B">
        <w:rPr>
          <w:rFonts w:cs="Times New Roman"/>
          <w:sz w:val="28"/>
          <w:szCs w:val="28"/>
          <w:lang w:val="uk-UA"/>
        </w:rPr>
        <w:t xml:space="preserve"> 2022 року</w:t>
      </w:r>
      <w:r w:rsidR="00910685">
        <w:rPr>
          <w:rFonts w:cs="Times New Roman"/>
          <w:sz w:val="28"/>
          <w:szCs w:val="28"/>
          <w:lang w:val="uk-UA"/>
        </w:rPr>
        <w:t xml:space="preserve">, </w:t>
      </w:r>
      <w:r w:rsidR="00910685">
        <w:rPr>
          <w:rFonts w:cs="Times New Roman"/>
          <w:sz w:val="28"/>
          <w:szCs w:val="28"/>
          <w:shd w:val="clear" w:color="auto" w:fill="FFFFFF"/>
          <w:lang w:val="uk-UA"/>
        </w:rPr>
        <w:t>від 16 червня 2022 року    №  320</w:t>
      </w:r>
      <w:r w:rsidR="00910685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AF6A36">
        <w:rPr>
          <w:rFonts w:cs="Times New Roman"/>
          <w:sz w:val="28"/>
          <w:szCs w:val="28"/>
          <w:lang w:val="uk-UA"/>
        </w:rPr>
        <w:t>,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AF6A36">
        <w:rPr>
          <w:rFonts w:cs="Times New Roman"/>
          <w:sz w:val="28"/>
          <w:szCs w:val="28"/>
          <w:shd w:val="clear" w:color="auto" w:fill="FFFFFF"/>
          <w:lang w:val="uk-UA"/>
        </w:rPr>
        <w:t>від 14 липня 2022 року                  №  377</w:t>
      </w:r>
      <w:r w:rsidR="00AF6A36">
        <w:rPr>
          <w:rFonts w:cs="Times New Roman"/>
          <w:sz w:val="28"/>
          <w:szCs w:val="28"/>
          <w:lang w:val="uk-UA"/>
        </w:rPr>
        <w:t xml:space="preserve">-у/2022 подовжила до 12 серпня 2022 року </w:t>
      </w:r>
      <w:r>
        <w:rPr>
          <w:rFonts w:cs="Times New Roman"/>
          <w:sz w:val="28"/>
          <w:szCs w:val="28"/>
          <w:lang w:val="uk-UA"/>
        </w:rPr>
        <w:t xml:space="preserve">строк постановлення </w:t>
      </w:r>
      <w:r w:rsidR="008337F3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</w:t>
      </w:r>
      <w:r>
        <w:rPr>
          <w:rFonts w:cs="Times New Roman"/>
          <w:sz w:val="28"/>
          <w:szCs w:val="28"/>
          <w:lang w:val="uk-UA"/>
        </w:rPr>
        <w:br/>
        <w:t>провадження у справі за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конституційним поданням </w:t>
      </w:r>
      <w:r>
        <w:rPr>
          <w:rFonts w:cs="Times New Roman"/>
          <w:sz w:val="28"/>
          <w:szCs w:val="28"/>
          <w:lang w:val="uk-UA"/>
        </w:rPr>
        <w:t>Верховного Суду</w:t>
      </w:r>
      <w:r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lastRenderedPageBreak/>
        <w:t>щодо відповідності Конституції України (конституційності) пункту 11</w:t>
      </w:r>
      <w:r>
        <w:rPr>
          <w:rFonts w:cs="Times New Roman"/>
          <w:sz w:val="28"/>
          <w:szCs w:val="28"/>
          <w:lang w:val="uk-UA"/>
        </w:rPr>
        <w:br/>
        <w:t>частини першої статті 34, пункту 10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  <w:lang w:val="uk-UA"/>
        </w:rPr>
        <w:t xml:space="preserve"> „Прикінцеві та </w:t>
      </w:r>
      <w:r>
        <w:rPr>
          <w:rFonts w:cs="Times New Roman"/>
          <w:sz w:val="28"/>
          <w:szCs w:val="28"/>
          <w:lang w:val="uk-UA"/>
        </w:rPr>
        <w:br/>
        <w:t>перехідні положення“ Закону України „Про виконавче провадження“,</w:t>
      </w:r>
      <w:r>
        <w:rPr>
          <w:rFonts w:cs="Times New Roman"/>
          <w:sz w:val="28"/>
          <w:szCs w:val="28"/>
          <w:lang w:val="uk-UA"/>
        </w:rPr>
        <w:br/>
        <w:t>пунктів 5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, 5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D21C7B" w:rsidRDefault="0092671F" w:rsidP="00DD224C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</w:t>
      </w:r>
      <w:r w:rsidR="00DD224C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</w:t>
      </w:r>
      <w:r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, 5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(розподілено</w:t>
      </w:r>
      <w:r>
        <w:rPr>
          <w:rFonts w:eastAsia="Times New Roman" w:cs="Times New Roman"/>
          <w:sz w:val="28"/>
          <w:szCs w:val="28"/>
          <w:lang w:val="uk-UA"/>
        </w:rPr>
        <w:br/>
        <w:t>16 грудня 2021 року судді Конституційного Суду України Касмініну О.В.).</w:t>
      </w:r>
    </w:p>
    <w:p w:rsidR="00D21C7B" w:rsidRDefault="00D21C7B" w:rsidP="00DD22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 w:rsidP="00DD22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21C7B" w:rsidRDefault="00D21C7B" w:rsidP="00DD224C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 w:rsidP="00DD224C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D21C7B" w:rsidRDefault="00D21C7B" w:rsidP="00DD224C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highlight w:val="yellow"/>
          <w:lang w:val="uk-UA"/>
        </w:rPr>
      </w:pPr>
    </w:p>
    <w:p w:rsidR="00D21C7B" w:rsidRDefault="0092671F" w:rsidP="00DD224C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813D83">
        <w:rPr>
          <w:rFonts w:cs="Times New Roman"/>
          <w:sz w:val="28"/>
          <w:szCs w:val="28"/>
          <w:lang w:val="uk-UA"/>
        </w:rPr>
        <w:t>9 вересня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</w:t>
      </w:r>
      <w:r w:rsidR="008337F3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 xml:space="preserve">або про відмову у відкритті конституційного провадження у справі </w:t>
      </w:r>
      <w:r w:rsidR="008337F3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конституційним поданням </w:t>
      </w:r>
      <w:r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lastRenderedPageBreak/>
        <w:t xml:space="preserve">розділу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, 5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D21C7B" w:rsidRDefault="00D21C7B" w:rsidP="00204485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13D83" w:rsidRDefault="00813D83" w:rsidP="00204485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04485" w:rsidRDefault="00204485" w:rsidP="00204485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p w:rsidR="00204485" w:rsidRPr="00A66CF2" w:rsidRDefault="00204485" w:rsidP="00204485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A66CF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21C7B" w:rsidRDefault="00204485" w:rsidP="00204485">
      <w:pPr>
        <w:ind w:left="4248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66CF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D21C7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B7" w:rsidRDefault="00134DB7">
      <w:r>
        <w:separator/>
      </w:r>
    </w:p>
  </w:endnote>
  <w:endnote w:type="continuationSeparator" w:id="0">
    <w:p w:rsidR="00134DB7" w:rsidRDefault="0013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4C" w:rsidRPr="00DD224C" w:rsidRDefault="00DD224C">
    <w:pPr>
      <w:pStyle w:val="a6"/>
      <w:rPr>
        <w:sz w:val="10"/>
        <w:szCs w:val="10"/>
      </w:rPr>
    </w:pPr>
    <w:r w:rsidRPr="00DD224C">
      <w:rPr>
        <w:sz w:val="10"/>
        <w:szCs w:val="10"/>
      </w:rPr>
      <w:fldChar w:fldCharType="begin"/>
    </w:r>
    <w:r w:rsidRPr="00DD224C">
      <w:rPr>
        <w:rFonts w:cs="Nirmala UI"/>
        <w:sz w:val="10"/>
        <w:szCs w:val="10"/>
      </w:rPr>
      <w:instrText xml:space="preserve"> FILENAME \p \* MERGEFORMAT </w:instrText>
    </w:r>
    <w:r w:rsidRPr="00DD224C">
      <w:rPr>
        <w:sz w:val="10"/>
        <w:szCs w:val="10"/>
      </w:rPr>
      <w:fldChar w:fldCharType="separate"/>
    </w:r>
    <w:r w:rsidR="00204485">
      <w:rPr>
        <w:rFonts w:cs="Nirmala UI"/>
        <w:noProof/>
        <w:sz w:val="10"/>
        <w:szCs w:val="10"/>
      </w:rPr>
      <w:t>G:\2022\Suddi\Uhvala VP\435.docx</w:t>
    </w:r>
    <w:r w:rsidRPr="00DD224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4C" w:rsidRPr="00DD224C" w:rsidRDefault="00DD224C">
    <w:pPr>
      <w:pStyle w:val="a6"/>
      <w:rPr>
        <w:sz w:val="10"/>
        <w:szCs w:val="10"/>
      </w:rPr>
    </w:pPr>
    <w:r w:rsidRPr="00DD224C">
      <w:rPr>
        <w:sz w:val="10"/>
        <w:szCs w:val="10"/>
      </w:rPr>
      <w:fldChar w:fldCharType="begin"/>
    </w:r>
    <w:r w:rsidRPr="00DD224C">
      <w:rPr>
        <w:rFonts w:cs="Nirmala UI"/>
        <w:sz w:val="10"/>
        <w:szCs w:val="10"/>
      </w:rPr>
      <w:instrText xml:space="preserve"> FILENAME \p \* MERGEFORMAT </w:instrText>
    </w:r>
    <w:r w:rsidRPr="00DD224C">
      <w:rPr>
        <w:sz w:val="10"/>
        <w:szCs w:val="10"/>
      </w:rPr>
      <w:fldChar w:fldCharType="separate"/>
    </w:r>
    <w:r w:rsidR="00204485">
      <w:rPr>
        <w:rFonts w:cs="Nirmala UI"/>
        <w:noProof/>
        <w:sz w:val="10"/>
        <w:szCs w:val="10"/>
      </w:rPr>
      <w:t>G:\2022\Suddi\Uhvala VP\435.docx</w:t>
    </w:r>
    <w:r w:rsidRPr="00DD224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B7" w:rsidRDefault="00134DB7">
      <w:r>
        <w:separator/>
      </w:r>
    </w:p>
  </w:footnote>
  <w:footnote w:type="continuationSeparator" w:id="0">
    <w:p w:rsidR="00134DB7" w:rsidRDefault="0013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7B" w:rsidRDefault="0092671F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04485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7B"/>
    <w:rsid w:val="00134DB7"/>
    <w:rsid w:val="001B358A"/>
    <w:rsid w:val="001F0B99"/>
    <w:rsid w:val="00204485"/>
    <w:rsid w:val="00365BA5"/>
    <w:rsid w:val="005B0D9D"/>
    <w:rsid w:val="005F0CB6"/>
    <w:rsid w:val="007825C0"/>
    <w:rsid w:val="007B0859"/>
    <w:rsid w:val="00802646"/>
    <w:rsid w:val="00813D83"/>
    <w:rsid w:val="00832EEF"/>
    <w:rsid w:val="008337F3"/>
    <w:rsid w:val="00910685"/>
    <w:rsid w:val="0092671F"/>
    <w:rsid w:val="009E09F2"/>
    <w:rsid w:val="00A66988"/>
    <w:rsid w:val="00AF6A36"/>
    <w:rsid w:val="00C5739D"/>
    <w:rsid w:val="00D21C7B"/>
    <w:rsid w:val="00D473F2"/>
    <w:rsid w:val="00DD224C"/>
    <w:rsid w:val="00E75B05"/>
    <w:rsid w:val="00EE43A3"/>
    <w:rsid w:val="00F417F6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4648"/>
  <w15:docId w15:val="{4038B3F9-E663-425E-AA1E-8D417DD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BC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76CBC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76C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F76CBC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F76CBC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B0859"/>
    <w:rPr>
      <w:rFonts w:ascii="Segoe UI" w:hAnsi="Segoe UI" w:cs="Mangal"/>
      <w:sz w:val="18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859"/>
    <w:rPr>
      <w:rFonts w:ascii="Segoe UI" w:hAnsi="Segoe UI" w:cs="Mangal"/>
      <w:sz w:val="18"/>
      <w:szCs w:val="16"/>
      <w:lang w:val="ru-RU" w:eastAsia="ru-RU" w:bidi="hi-IN"/>
    </w:rPr>
  </w:style>
  <w:style w:type="paragraph" w:styleId="ac">
    <w:name w:val="No Spacing"/>
    <w:uiPriority w:val="1"/>
    <w:qFormat/>
    <w:rsid w:val="00813D83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3316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6</cp:revision>
  <cp:lastPrinted>2022-09-08T12:33:00Z</cp:lastPrinted>
  <dcterms:created xsi:type="dcterms:W3CDTF">2022-08-03T05:34:00Z</dcterms:created>
  <dcterms:modified xsi:type="dcterms:W3CDTF">2022-09-08T12:33:00Z</dcterms:modified>
  <dc:language>pl-PL</dc:language>
</cp:coreProperties>
</file>