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B74" w:rsidRPr="00C93410" w:rsidRDefault="00664B74" w:rsidP="005F5FFF">
      <w:pPr>
        <w:ind w:right="50" w:firstLine="851"/>
        <w:jc w:val="both"/>
        <w:rPr>
          <w:b/>
          <w:bCs/>
          <w:sz w:val="28"/>
          <w:szCs w:val="28"/>
          <w:lang w:val="en-GB"/>
        </w:rPr>
      </w:pPr>
      <w:r w:rsidRPr="00C93410">
        <w:rPr>
          <w:b/>
          <w:bCs/>
          <w:sz w:val="28"/>
          <w:szCs w:val="28"/>
          <w:lang w:val="en-GB"/>
        </w:rPr>
        <w:t xml:space="preserve">Summary to the Decision </w:t>
      </w:r>
      <w:r w:rsidR="00A5696F" w:rsidRPr="00C93410">
        <w:rPr>
          <w:b/>
          <w:bCs/>
          <w:sz w:val="28"/>
          <w:szCs w:val="28"/>
          <w:lang w:val="en-GB"/>
        </w:rPr>
        <w:t>of the Grand Chamber of the Constitutional Court of December 23, 2022 No. 3-</w:t>
      </w:r>
      <w:r w:rsidR="005F3208" w:rsidRPr="00C93410">
        <w:rPr>
          <w:b/>
          <w:bCs/>
          <w:sz w:val="28"/>
          <w:szCs w:val="28"/>
          <w:lang w:val="en-GB"/>
        </w:rPr>
        <w:t>r</w:t>
      </w:r>
      <w:r w:rsidR="00A5696F" w:rsidRPr="00C93410">
        <w:rPr>
          <w:b/>
          <w:bCs/>
          <w:sz w:val="28"/>
          <w:szCs w:val="28"/>
          <w:lang w:val="en-GB"/>
        </w:rPr>
        <w:t>/2022</w:t>
      </w:r>
      <w:r w:rsidR="005F3208" w:rsidRPr="00C93410">
        <w:rPr>
          <w:b/>
          <w:bCs/>
          <w:sz w:val="28"/>
          <w:szCs w:val="28"/>
          <w:lang w:val="en-GB"/>
        </w:rPr>
        <w:t xml:space="preserve"> </w:t>
      </w:r>
      <w:r w:rsidRPr="00C93410">
        <w:rPr>
          <w:b/>
          <w:bCs/>
          <w:sz w:val="28"/>
          <w:szCs w:val="28"/>
          <w:lang w:val="en-GB"/>
        </w:rPr>
        <w:t>in the case upon the constitutional complaint of Vasyl Mosiurchak on compliance of sub</w:t>
      </w:r>
      <w:r w:rsidR="007A53FF" w:rsidRPr="00C93410">
        <w:rPr>
          <w:b/>
          <w:bCs/>
          <w:sz w:val="28"/>
          <w:szCs w:val="28"/>
          <w:lang w:val="en-GB"/>
        </w:rPr>
        <w:t>paragraph</w:t>
      </w:r>
      <w:r w:rsidRPr="00C93410">
        <w:rPr>
          <w:b/>
          <w:bCs/>
          <w:sz w:val="28"/>
          <w:szCs w:val="28"/>
          <w:lang w:val="en-GB"/>
        </w:rPr>
        <w:t xml:space="preserve"> 1 of </w:t>
      </w:r>
      <w:r w:rsidR="007A53FF" w:rsidRPr="00C93410">
        <w:rPr>
          <w:b/>
          <w:bCs/>
          <w:sz w:val="28"/>
          <w:szCs w:val="28"/>
          <w:lang w:val="en-GB"/>
        </w:rPr>
        <w:t>paragraph</w:t>
      </w:r>
      <w:r w:rsidRPr="00C93410">
        <w:rPr>
          <w:b/>
          <w:bCs/>
          <w:sz w:val="28"/>
          <w:szCs w:val="28"/>
          <w:lang w:val="en-GB"/>
        </w:rPr>
        <w:t xml:space="preserve"> 2 of </w:t>
      </w:r>
      <w:r w:rsidR="009E0E6B" w:rsidRPr="00C93410">
        <w:rPr>
          <w:b/>
          <w:bCs/>
          <w:sz w:val="28"/>
          <w:szCs w:val="28"/>
          <w:lang w:val="en-GB"/>
        </w:rPr>
        <w:t>Section</w:t>
      </w:r>
      <w:r w:rsidRPr="00C93410">
        <w:rPr>
          <w:b/>
          <w:bCs/>
          <w:sz w:val="28"/>
          <w:szCs w:val="28"/>
          <w:lang w:val="en-GB"/>
        </w:rPr>
        <w:t xml:space="preserve"> XI “Final and Transitional Provisions“ of the Law of Ukraine “On </w:t>
      </w:r>
      <w:r w:rsidR="00EF7D16">
        <w:rPr>
          <w:b/>
          <w:bCs/>
          <w:sz w:val="28"/>
          <w:szCs w:val="28"/>
          <w:lang w:val="en-GB"/>
        </w:rPr>
        <w:t xml:space="preserve">Public </w:t>
      </w:r>
      <w:r w:rsidRPr="00C93410">
        <w:rPr>
          <w:b/>
          <w:bCs/>
          <w:sz w:val="28"/>
          <w:szCs w:val="28"/>
          <w:lang w:val="en-GB"/>
        </w:rPr>
        <w:t xml:space="preserve">Service“ </w:t>
      </w:r>
      <w:r w:rsidR="00296923">
        <w:rPr>
          <w:b/>
          <w:bCs/>
          <w:sz w:val="28"/>
          <w:szCs w:val="28"/>
          <w:lang w:val="en-US"/>
        </w:rPr>
        <w:t>dated</w:t>
      </w:r>
      <w:r w:rsidRPr="00C93410">
        <w:rPr>
          <w:b/>
          <w:bCs/>
          <w:sz w:val="28"/>
          <w:szCs w:val="28"/>
          <w:lang w:val="en-GB"/>
        </w:rPr>
        <w:t xml:space="preserve"> December 10, 2015 No. 889–VIIІ (on the guarantees of social protection of public servants) (hereinafter </w:t>
      </w:r>
      <w:r w:rsidR="005F3208" w:rsidRPr="00C93410">
        <w:rPr>
          <w:b/>
          <w:bCs/>
          <w:sz w:val="28"/>
          <w:szCs w:val="28"/>
          <w:lang w:val="en-GB"/>
        </w:rPr>
        <w:t>refereed to as “</w:t>
      </w:r>
      <w:r w:rsidRPr="00C93410">
        <w:rPr>
          <w:b/>
          <w:bCs/>
          <w:sz w:val="28"/>
          <w:szCs w:val="28"/>
          <w:lang w:val="en-GB"/>
        </w:rPr>
        <w:t>Law No. 889</w:t>
      </w:r>
      <w:r w:rsidR="005F3208" w:rsidRPr="00C93410">
        <w:rPr>
          <w:b/>
          <w:bCs/>
          <w:sz w:val="28"/>
          <w:szCs w:val="28"/>
          <w:lang w:val="en-GB"/>
        </w:rPr>
        <w:t>”</w:t>
      </w:r>
      <w:r w:rsidRPr="00C93410">
        <w:rPr>
          <w:b/>
          <w:bCs/>
          <w:sz w:val="28"/>
          <w:szCs w:val="28"/>
          <w:lang w:val="en-GB"/>
        </w:rPr>
        <w:t>) with the Constitution of Ukraine.</w:t>
      </w:r>
    </w:p>
    <w:p w:rsidR="00664B74" w:rsidRPr="00C93410" w:rsidRDefault="00664B74" w:rsidP="005F5FFF">
      <w:pPr>
        <w:ind w:right="50" w:firstLine="851"/>
        <w:jc w:val="both"/>
        <w:rPr>
          <w:b/>
          <w:bCs/>
          <w:sz w:val="28"/>
          <w:szCs w:val="28"/>
          <w:lang w:val="en-GB"/>
        </w:rPr>
      </w:pPr>
    </w:p>
    <w:p w:rsidR="009E0E6B" w:rsidRPr="00C93410" w:rsidRDefault="009E0E6B" w:rsidP="00B83398">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 xml:space="preserve">V.Mosiurchak applied to the Constitutional Court with a request to declare </w:t>
      </w:r>
      <w:r w:rsidR="00F45C30" w:rsidRPr="00C93410">
        <w:rPr>
          <w:rFonts w:ascii="Times New Roman" w:hAnsi="Times New Roman" w:cs="Times New Roman"/>
          <w:sz w:val="28"/>
          <w:szCs w:val="28"/>
          <w:lang w:val="en-GB"/>
        </w:rPr>
        <w:t xml:space="preserve">subparagraph 1 of paragraph 2 of Section XI “Final and Transitional Provisions” of the Law “On </w:t>
      </w:r>
      <w:r w:rsidR="00EF7D16">
        <w:rPr>
          <w:rFonts w:ascii="Times New Roman" w:hAnsi="Times New Roman" w:cs="Times New Roman"/>
          <w:sz w:val="28"/>
          <w:szCs w:val="28"/>
          <w:lang w:val="en-GB"/>
        </w:rPr>
        <w:t xml:space="preserve">Public </w:t>
      </w:r>
      <w:r w:rsidR="00F45C30" w:rsidRPr="00C93410">
        <w:rPr>
          <w:rFonts w:ascii="Times New Roman" w:hAnsi="Times New Roman" w:cs="Times New Roman"/>
          <w:sz w:val="28"/>
          <w:szCs w:val="28"/>
          <w:lang w:val="en-GB"/>
        </w:rPr>
        <w:t>Service</w:t>
      </w:r>
      <w:r w:rsidR="00296923">
        <w:rPr>
          <w:rFonts w:ascii="Times New Roman" w:hAnsi="Times New Roman" w:cs="Times New Roman"/>
          <w:sz w:val="28"/>
          <w:szCs w:val="28"/>
          <w:lang w:val="en-GB"/>
        </w:rPr>
        <w:t>”</w:t>
      </w:r>
      <w:r w:rsidR="00F45C30" w:rsidRPr="00C93410">
        <w:rPr>
          <w:rFonts w:ascii="Times New Roman" w:hAnsi="Times New Roman" w:cs="Times New Roman"/>
          <w:sz w:val="28"/>
          <w:szCs w:val="28"/>
          <w:lang w:val="en-GB"/>
        </w:rPr>
        <w:t xml:space="preserve"> dated December 10, 2015 No.</w:t>
      </w:r>
      <w:r w:rsidR="00296923" w:rsidRPr="00296923">
        <w:rPr>
          <w:rFonts w:ascii="Times New Roman" w:hAnsi="Times New Roman" w:cs="Times New Roman"/>
          <w:sz w:val="28"/>
          <w:szCs w:val="28"/>
          <w:lang w:val="en-US"/>
        </w:rPr>
        <w:t xml:space="preserve"> </w:t>
      </w:r>
      <w:r w:rsidR="00F45C30" w:rsidRPr="00C93410">
        <w:rPr>
          <w:rFonts w:ascii="Times New Roman" w:hAnsi="Times New Roman" w:cs="Times New Roman"/>
          <w:sz w:val="28"/>
          <w:szCs w:val="28"/>
          <w:lang w:val="en-GB"/>
        </w:rPr>
        <w:t>889-VII</w:t>
      </w:r>
      <w:r w:rsidR="00954764" w:rsidRPr="00C93410">
        <w:rPr>
          <w:rFonts w:ascii="Times New Roman" w:hAnsi="Times New Roman" w:cs="Times New Roman"/>
          <w:sz w:val="28"/>
          <w:szCs w:val="28"/>
          <w:lang w:val="en-GB"/>
        </w:rPr>
        <w:t>I (hereinafter referred to as “</w:t>
      </w:r>
      <w:r w:rsidR="00EF7D16">
        <w:rPr>
          <w:rFonts w:ascii="Times New Roman" w:hAnsi="Times New Roman" w:cs="Times New Roman"/>
          <w:sz w:val="28"/>
          <w:szCs w:val="28"/>
          <w:lang w:val="en-GB"/>
        </w:rPr>
        <w:t xml:space="preserve">the </w:t>
      </w:r>
      <w:r w:rsidR="00F45C30" w:rsidRPr="00C93410">
        <w:rPr>
          <w:rFonts w:ascii="Times New Roman" w:hAnsi="Times New Roman" w:cs="Times New Roman"/>
          <w:sz w:val="28"/>
          <w:szCs w:val="28"/>
          <w:lang w:val="en-GB"/>
        </w:rPr>
        <w:t xml:space="preserve">Law No. 889”) </w:t>
      </w:r>
      <w:r w:rsidRPr="00C93410">
        <w:rPr>
          <w:rFonts w:ascii="Times New Roman" w:hAnsi="Times New Roman" w:cs="Times New Roman"/>
          <w:sz w:val="28"/>
          <w:szCs w:val="28"/>
          <w:lang w:val="en-GB"/>
        </w:rPr>
        <w:t xml:space="preserve">as inconsistent with Articles 22, 46.1, 58.1, </w:t>
      </w:r>
      <w:r w:rsidR="00EF7D16">
        <w:rPr>
          <w:rFonts w:ascii="Times New Roman" w:hAnsi="Times New Roman" w:cs="Times New Roman"/>
          <w:sz w:val="28"/>
          <w:szCs w:val="28"/>
          <w:lang w:val="en-GB"/>
        </w:rPr>
        <w:t xml:space="preserve">and </w:t>
      </w:r>
      <w:r w:rsidRPr="00C93410">
        <w:rPr>
          <w:rFonts w:ascii="Times New Roman" w:hAnsi="Times New Roman" w:cs="Times New Roman"/>
          <w:sz w:val="28"/>
          <w:szCs w:val="28"/>
          <w:lang w:val="en-GB"/>
        </w:rPr>
        <w:t>64 of the Constitution (unconstitutional)</w:t>
      </w:r>
      <w:r w:rsidR="00F45C30" w:rsidRPr="00C93410">
        <w:rPr>
          <w:rFonts w:ascii="Times New Roman" w:hAnsi="Times New Roman" w:cs="Times New Roman"/>
          <w:sz w:val="28"/>
          <w:szCs w:val="28"/>
          <w:lang w:val="en-GB"/>
        </w:rPr>
        <w:t>.</w:t>
      </w:r>
    </w:p>
    <w:p w:rsidR="00EC5FFD" w:rsidRPr="00C93410" w:rsidRDefault="00EC5FFD" w:rsidP="00B83398">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The subject of the right to constitutional complaint also claims that subparagraph 1</w:t>
      </w:r>
      <w:r w:rsidR="00EC1B3A" w:rsidRPr="00C93410">
        <w:rPr>
          <w:rFonts w:ascii="Times New Roman" w:hAnsi="Times New Roman" w:cs="Times New Roman"/>
          <w:sz w:val="28"/>
          <w:szCs w:val="28"/>
          <w:lang w:val="en-GB"/>
        </w:rPr>
        <w:t xml:space="preserve"> of</w:t>
      </w:r>
      <w:r w:rsidRPr="00C93410">
        <w:rPr>
          <w:rFonts w:ascii="Times New Roman" w:hAnsi="Times New Roman" w:cs="Times New Roman"/>
          <w:sz w:val="28"/>
          <w:szCs w:val="28"/>
          <w:lang w:val="en-GB"/>
        </w:rPr>
        <w:t xml:space="preserve"> paragraph 2 of Section XI “Final and Transitional Provisions” of Law No. 889 significantly narrowed the content of his right to pension provision.</w:t>
      </w:r>
    </w:p>
    <w:p w:rsidR="00EC5FFD" w:rsidRPr="00C93410" w:rsidRDefault="00E46DCB" w:rsidP="00B83398">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 xml:space="preserve">The Constitutional Court proceeds from the fact that the regulation of pension provision of public servants, depending on the time of </w:t>
      </w:r>
      <w:r w:rsidR="00D579A8">
        <w:rPr>
          <w:rFonts w:ascii="Times New Roman" w:hAnsi="Times New Roman" w:cs="Times New Roman"/>
          <w:sz w:val="28"/>
          <w:szCs w:val="28"/>
          <w:lang w:val="en-GB"/>
        </w:rPr>
        <w:t xml:space="preserve">accrual of </w:t>
      </w:r>
      <w:r w:rsidRPr="00C93410">
        <w:rPr>
          <w:rFonts w:ascii="Times New Roman" w:hAnsi="Times New Roman" w:cs="Times New Roman"/>
          <w:sz w:val="28"/>
          <w:szCs w:val="28"/>
          <w:lang w:val="en-GB"/>
        </w:rPr>
        <w:t xml:space="preserve">pension, was or will be carried out in accordance with normative acts, primarily laws, according to which the form, types, grounds and conditions of pension provision of </w:t>
      </w:r>
      <w:r w:rsidR="00006D97" w:rsidRPr="00C93410">
        <w:rPr>
          <w:rFonts w:ascii="Times New Roman" w:hAnsi="Times New Roman" w:cs="Times New Roman"/>
          <w:sz w:val="28"/>
          <w:szCs w:val="28"/>
          <w:lang w:val="en-GB"/>
        </w:rPr>
        <w:t>public</w:t>
      </w:r>
      <w:r w:rsidRPr="00C93410">
        <w:rPr>
          <w:rFonts w:ascii="Times New Roman" w:hAnsi="Times New Roman" w:cs="Times New Roman"/>
          <w:sz w:val="28"/>
          <w:szCs w:val="28"/>
          <w:lang w:val="en-GB"/>
        </w:rPr>
        <w:t xml:space="preserve"> servants underwent changes.</w:t>
      </w:r>
    </w:p>
    <w:p w:rsidR="00E46DCB" w:rsidRPr="00C93410" w:rsidRDefault="00006D97" w:rsidP="00B83398">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lastRenderedPageBreak/>
        <w:t xml:space="preserve">From the date of entry into force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 xml:space="preserve">Law No. 889, the pension provision of the subject of the right to constitutional complaint and other </w:t>
      </w:r>
      <w:r w:rsidR="00553822" w:rsidRPr="00C93410">
        <w:rPr>
          <w:rFonts w:ascii="Times New Roman" w:hAnsi="Times New Roman" w:cs="Times New Roman"/>
          <w:sz w:val="28"/>
          <w:szCs w:val="28"/>
          <w:lang w:val="en-GB"/>
        </w:rPr>
        <w:t>public</w:t>
      </w:r>
      <w:r w:rsidRPr="00C93410">
        <w:rPr>
          <w:rFonts w:ascii="Times New Roman" w:hAnsi="Times New Roman" w:cs="Times New Roman"/>
          <w:sz w:val="28"/>
          <w:szCs w:val="28"/>
          <w:lang w:val="en-GB"/>
        </w:rPr>
        <w:t xml:space="preserve"> servants </w:t>
      </w:r>
      <w:r w:rsidR="00293989" w:rsidRPr="00C93410">
        <w:rPr>
          <w:rFonts w:ascii="Times New Roman" w:hAnsi="Times New Roman" w:cs="Times New Roman"/>
          <w:sz w:val="28"/>
          <w:szCs w:val="28"/>
          <w:lang w:val="en-GB"/>
        </w:rPr>
        <w:t>has been</w:t>
      </w:r>
      <w:r w:rsidRPr="00C93410">
        <w:rPr>
          <w:rFonts w:ascii="Times New Roman" w:hAnsi="Times New Roman" w:cs="Times New Roman"/>
          <w:sz w:val="28"/>
          <w:szCs w:val="28"/>
          <w:lang w:val="en-GB"/>
        </w:rPr>
        <w:t xml:space="preserve"> regulated by the Law </w:t>
      </w:r>
      <w:r w:rsidR="00553822" w:rsidRPr="00C93410">
        <w:rPr>
          <w:rFonts w:ascii="Times New Roman" w:hAnsi="Times New Roman" w:cs="Times New Roman"/>
          <w:sz w:val="28"/>
          <w:szCs w:val="28"/>
          <w:lang w:val="en-GB"/>
        </w:rPr>
        <w:t>“</w:t>
      </w:r>
      <w:r w:rsidRPr="00C93410">
        <w:rPr>
          <w:rFonts w:ascii="Times New Roman" w:hAnsi="Times New Roman" w:cs="Times New Roman"/>
          <w:sz w:val="28"/>
          <w:szCs w:val="28"/>
          <w:lang w:val="en-GB"/>
        </w:rPr>
        <w:t xml:space="preserve">On </w:t>
      </w:r>
      <w:r w:rsidR="00F77752" w:rsidRPr="00C93410">
        <w:rPr>
          <w:rFonts w:ascii="Times New Roman" w:hAnsi="Times New Roman" w:cs="Times New Roman"/>
          <w:sz w:val="28"/>
          <w:szCs w:val="28"/>
          <w:lang w:val="en-GB"/>
        </w:rPr>
        <w:t>Compulsory</w:t>
      </w:r>
      <w:r w:rsidRPr="00C93410">
        <w:rPr>
          <w:rFonts w:ascii="Times New Roman" w:hAnsi="Times New Roman" w:cs="Times New Roman"/>
          <w:sz w:val="28"/>
          <w:szCs w:val="28"/>
          <w:lang w:val="en-GB"/>
        </w:rPr>
        <w:t xml:space="preserve"> State Pension Insurance</w:t>
      </w:r>
      <w:r w:rsidR="00553822" w:rsidRPr="00C93410">
        <w:rPr>
          <w:rFonts w:ascii="Times New Roman" w:hAnsi="Times New Roman" w:cs="Times New Roman"/>
          <w:sz w:val="28"/>
          <w:szCs w:val="28"/>
          <w:lang w:val="en-GB"/>
        </w:rPr>
        <w:t>”</w:t>
      </w:r>
      <w:r w:rsidRPr="00C93410">
        <w:rPr>
          <w:rFonts w:ascii="Times New Roman" w:hAnsi="Times New Roman" w:cs="Times New Roman"/>
          <w:sz w:val="28"/>
          <w:szCs w:val="28"/>
          <w:lang w:val="en-GB"/>
        </w:rPr>
        <w:t xml:space="preserve"> </w:t>
      </w:r>
      <w:r w:rsidR="007D31E9" w:rsidRPr="00C93410">
        <w:rPr>
          <w:rFonts w:ascii="Times New Roman" w:hAnsi="Times New Roman" w:cs="Times New Roman"/>
          <w:sz w:val="28"/>
          <w:szCs w:val="28"/>
          <w:lang w:val="en-GB"/>
        </w:rPr>
        <w:t>dated</w:t>
      </w:r>
      <w:r w:rsidRPr="00C93410">
        <w:rPr>
          <w:rFonts w:ascii="Times New Roman" w:hAnsi="Times New Roman" w:cs="Times New Roman"/>
          <w:sz w:val="28"/>
          <w:szCs w:val="28"/>
          <w:lang w:val="en-GB"/>
        </w:rPr>
        <w:t xml:space="preserve"> July 9, 2003 No.</w:t>
      </w:r>
      <w:r w:rsidR="00DD4FBB" w:rsidRPr="00DD4FBB">
        <w:rPr>
          <w:rFonts w:ascii="Times New Roman" w:hAnsi="Times New Roman" w:cs="Times New Roman"/>
          <w:sz w:val="28"/>
          <w:szCs w:val="28"/>
          <w:lang w:val="en-US"/>
        </w:rPr>
        <w:t> </w:t>
      </w:r>
      <w:r w:rsidRPr="00C93410">
        <w:rPr>
          <w:rFonts w:ascii="Times New Roman" w:hAnsi="Times New Roman" w:cs="Times New Roman"/>
          <w:sz w:val="28"/>
          <w:szCs w:val="28"/>
          <w:lang w:val="en-GB"/>
        </w:rPr>
        <w:t xml:space="preserve">1058-IV (hereinafter </w:t>
      </w:r>
      <w:r w:rsidR="00DA2F16" w:rsidRPr="00C93410">
        <w:rPr>
          <w:rFonts w:ascii="Times New Roman" w:hAnsi="Times New Roman" w:cs="Times New Roman"/>
          <w:sz w:val="28"/>
          <w:szCs w:val="28"/>
          <w:lang w:val="en-GB"/>
        </w:rPr>
        <w:t>referred to as “</w:t>
      </w:r>
      <w:r w:rsidR="00EF7D16">
        <w:rPr>
          <w:rFonts w:ascii="Times New Roman" w:hAnsi="Times New Roman" w:cs="Times New Roman"/>
          <w:sz w:val="28"/>
          <w:szCs w:val="28"/>
          <w:lang w:val="en-GB"/>
        </w:rPr>
        <w:t xml:space="preserve">the </w:t>
      </w:r>
      <w:r w:rsidR="00DD4FBB">
        <w:rPr>
          <w:rFonts w:ascii="Times New Roman" w:hAnsi="Times New Roman" w:cs="Times New Roman"/>
          <w:sz w:val="28"/>
          <w:szCs w:val="28"/>
          <w:lang w:val="en-GB"/>
        </w:rPr>
        <w:t>Law No.</w:t>
      </w:r>
      <w:r w:rsidR="00DD4FBB" w:rsidRPr="00DD4FBB">
        <w:rPr>
          <w:rFonts w:ascii="Times New Roman" w:hAnsi="Times New Roman" w:cs="Times New Roman"/>
          <w:sz w:val="28"/>
          <w:szCs w:val="28"/>
          <w:lang w:val="en-US"/>
        </w:rPr>
        <w:t> </w:t>
      </w:r>
      <w:r w:rsidRPr="00C93410">
        <w:rPr>
          <w:rFonts w:ascii="Times New Roman" w:hAnsi="Times New Roman" w:cs="Times New Roman"/>
          <w:sz w:val="28"/>
          <w:szCs w:val="28"/>
          <w:lang w:val="en-GB"/>
        </w:rPr>
        <w:t>1058</w:t>
      </w:r>
      <w:r w:rsidR="00DA2F16" w:rsidRPr="00C93410">
        <w:rPr>
          <w:rFonts w:ascii="Times New Roman" w:hAnsi="Times New Roman" w:cs="Times New Roman"/>
          <w:sz w:val="28"/>
          <w:szCs w:val="28"/>
          <w:lang w:val="en-GB"/>
        </w:rPr>
        <w:t>”</w:t>
      </w:r>
      <w:r w:rsidRPr="00C93410">
        <w:rPr>
          <w:rFonts w:ascii="Times New Roman" w:hAnsi="Times New Roman" w:cs="Times New Roman"/>
          <w:sz w:val="28"/>
          <w:szCs w:val="28"/>
          <w:lang w:val="en-GB"/>
        </w:rPr>
        <w:t>) as a general law (</w:t>
      </w:r>
      <w:r w:rsidRPr="00C93410">
        <w:rPr>
          <w:rFonts w:ascii="Times New Roman" w:hAnsi="Times New Roman" w:cs="Times New Roman"/>
          <w:i/>
          <w:sz w:val="28"/>
          <w:szCs w:val="28"/>
          <w:lang w:val="en-GB"/>
        </w:rPr>
        <w:t>le</w:t>
      </w:r>
      <w:r w:rsidR="00293989" w:rsidRPr="00C93410">
        <w:rPr>
          <w:rFonts w:ascii="Times New Roman" w:hAnsi="Times New Roman" w:cs="Times New Roman"/>
          <w:i/>
          <w:sz w:val="28"/>
          <w:szCs w:val="28"/>
          <w:lang w:val="en-GB"/>
        </w:rPr>
        <w:t>x</w:t>
      </w:r>
      <w:r w:rsidRPr="00C93410">
        <w:rPr>
          <w:rFonts w:ascii="Times New Roman" w:hAnsi="Times New Roman" w:cs="Times New Roman"/>
          <w:i/>
          <w:sz w:val="28"/>
          <w:szCs w:val="28"/>
          <w:lang w:val="en-GB"/>
        </w:rPr>
        <w:t xml:space="preserve"> generalis</w:t>
      </w:r>
      <w:r w:rsidRPr="00C93410">
        <w:rPr>
          <w:rFonts w:ascii="Times New Roman" w:hAnsi="Times New Roman" w:cs="Times New Roman"/>
          <w:sz w:val="28"/>
          <w:szCs w:val="28"/>
          <w:lang w:val="en-GB"/>
        </w:rPr>
        <w:t xml:space="preserve">), which regulates relations between all subjects of the </w:t>
      </w:r>
      <w:r w:rsidR="00293989" w:rsidRPr="00C93410">
        <w:rPr>
          <w:rFonts w:ascii="Times New Roman" w:hAnsi="Times New Roman" w:cs="Times New Roman"/>
          <w:sz w:val="28"/>
          <w:szCs w:val="28"/>
          <w:lang w:val="en-GB"/>
        </w:rPr>
        <w:t>compulsory</w:t>
      </w:r>
      <w:r w:rsidRPr="00C93410">
        <w:rPr>
          <w:rFonts w:ascii="Times New Roman" w:hAnsi="Times New Roman" w:cs="Times New Roman"/>
          <w:sz w:val="28"/>
          <w:szCs w:val="28"/>
          <w:lang w:val="en-GB"/>
        </w:rPr>
        <w:t xml:space="preserve"> state pension insurance system.</w:t>
      </w:r>
    </w:p>
    <w:p w:rsidR="00E46DCB" w:rsidRPr="00C93410" w:rsidRDefault="00293989" w:rsidP="00B83398">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 xml:space="preserve">The right to </w:t>
      </w:r>
      <w:r w:rsidR="00EC1B3A" w:rsidRPr="00C93410">
        <w:rPr>
          <w:rFonts w:ascii="Times New Roman" w:hAnsi="Times New Roman" w:cs="Times New Roman"/>
          <w:sz w:val="28"/>
          <w:szCs w:val="28"/>
          <w:lang w:val="en-GB"/>
        </w:rPr>
        <w:t xml:space="preserve">be granted </w:t>
      </w:r>
      <w:r w:rsidRPr="00C93410">
        <w:rPr>
          <w:rFonts w:ascii="Times New Roman" w:hAnsi="Times New Roman" w:cs="Times New Roman"/>
          <w:sz w:val="28"/>
          <w:szCs w:val="28"/>
          <w:lang w:val="en-GB"/>
        </w:rPr>
        <w:t>a pension on the basis of Article 37 of the Law “On Public Service” dated December 16, 1993 No. </w:t>
      </w:r>
      <w:r w:rsidR="00BA3352" w:rsidRPr="00C93410">
        <w:rPr>
          <w:rFonts w:ascii="Times New Roman" w:hAnsi="Times New Roman" w:cs="Times New Roman"/>
          <w:sz w:val="28"/>
          <w:szCs w:val="28"/>
          <w:lang w:val="en-GB"/>
        </w:rPr>
        <w:t>3</w:t>
      </w:r>
      <w:r w:rsidRPr="00C93410">
        <w:rPr>
          <w:rFonts w:ascii="Times New Roman" w:hAnsi="Times New Roman" w:cs="Times New Roman"/>
          <w:sz w:val="28"/>
          <w:szCs w:val="28"/>
          <w:lang w:val="en-GB"/>
        </w:rPr>
        <w:t xml:space="preserve">723-ХІ as amended (hereinafter </w:t>
      </w:r>
      <w:r w:rsidR="00BA3352" w:rsidRPr="00C93410">
        <w:rPr>
          <w:rFonts w:ascii="Times New Roman" w:hAnsi="Times New Roman" w:cs="Times New Roman"/>
          <w:sz w:val="28"/>
          <w:szCs w:val="28"/>
          <w:lang w:val="en-GB"/>
        </w:rPr>
        <w:t>referred to as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 xml:space="preserve">Law No. </w:t>
      </w:r>
      <w:r w:rsidR="00BA3352" w:rsidRPr="00C93410">
        <w:rPr>
          <w:rFonts w:ascii="Times New Roman" w:hAnsi="Times New Roman" w:cs="Times New Roman"/>
          <w:sz w:val="28"/>
          <w:szCs w:val="28"/>
          <w:lang w:val="en-GB"/>
        </w:rPr>
        <w:t>3</w:t>
      </w:r>
      <w:r w:rsidRPr="00C93410">
        <w:rPr>
          <w:rFonts w:ascii="Times New Roman" w:hAnsi="Times New Roman" w:cs="Times New Roman"/>
          <w:sz w:val="28"/>
          <w:szCs w:val="28"/>
          <w:lang w:val="en-GB"/>
        </w:rPr>
        <w:t>723</w:t>
      </w:r>
      <w:r w:rsidR="00CF0A1A" w:rsidRPr="00C93410">
        <w:rPr>
          <w:rFonts w:ascii="Times New Roman" w:hAnsi="Times New Roman" w:cs="Times New Roman"/>
          <w:sz w:val="28"/>
          <w:szCs w:val="28"/>
          <w:lang w:val="en-GB"/>
        </w:rPr>
        <w:t>”</w:t>
      </w:r>
      <w:r w:rsidRPr="00C93410">
        <w:rPr>
          <w:rFonts w:ascii="Times New Roman" w:hAnsi="Times New Roman" w:cs="Times New Roman"/>
          <w:sz w:val="28"/>
          <w:szCs w:val="28"/>
          <w:lang w:val="en-GB"/>
        </w:rPr>
        <w:t>) as a special law (</w:t>
      </w:r>
      <w:r w:rsidRPr="00C93410">
        <w:rPr>
          <w:rFonts w:ascii="Times New Roman" w:hAnsi="Times New Roman" w:cs="Times New Roman"/>
          <w:i/>
          <w:sz w:val="28"/>
          <w:szCs w:val="28"/>
          <w:lang w:val="en-GB"/>
        </w:rPr>
        <w:t>leх specialis</w:t>
      </w:r>
      <w:r w:rsidRPr="00C93410">
        <w:rPr>
          <w:rFonts w:ascii="Times New Roman" w:hAnsi="Times New Roman" w:cs="Times New Roman"/>
          <w:sz w:val="28"/>
          <w:szCs w:val="28"/>
          <w:lang w:val="en-GB"/>
        </w:rPr>
        <w:t xml:space="preserve">) is reserved for the persons defined in </w:t>
      </w:r>
      <w:r w:rsidR="001968F8" w:rsidRPr="00C93410">
        <w:rPr>
          <w:rFonts w:ascii="Times New Roman" w:hAnsi="Times New Roman" w:cs="Times New Roman"/>
          <w:sz w:val="28"/>
          <w:szCs w:val="28"/>
          <w:lang w:val="en-GB"/>
        </w:rPr>
        <w:t>paragraphs</w:t>
      </w:r>
      <w:r w:rsidRPr="00C93410">
        <w:rPr>
          <w:rFonts w:ascii="Times New Roman" w:hAnsi="Times New Roman" w:cs="Times New Roman"/>
          <w:sz w:val="28"/>
          <w:szCs w:val="28"/>
          <w:lang w:val="en-GB"/>
        </w:rPr>
        <w:t xml:space="preserve"> 10</w:t>
      </w:r>
      <w:r w:rsidR="00EF7D16">
        <w:rPr>
          <w:rFonts w:ascii="Times New Roman" w:hAnsi="Times New Roman" w:cs="Times New Roman"/>
          <w:sz w:val="28"/>
          <w:szCs w:val="28"/>
          <w:lang w:val="en-GB"/>
        </w:rPr>
        <w:t xml:space="preserve"> and</w:t>
      </w:r>
      <w:r w:rsidRPr="00C93410">
        <w:rPr>
          <w:rFonts w:ascii="Times New Roman" w:hAnsi="Times New Roman" w:cs="Times New Roman"/>
          <w:sz w:val="28"/>
          <w:szCs w:val="28"/>
          <w:lang w:val="en-GB"/>
        </w:rPr>
        <w:t xml:space="preserve"> 12 of </w:t>
      </w:r>
      <w:r w:rsidR="00537C08" w:rsidRPr="00C93410">
        <w:rPr>
          <w:rFonts w:ascii="Times New Roman" w:hAnsi="Times New Roman" w:cs="Times New Roman"/>
          <w:sz w:val="28"/>
          <w:szCs w:val="28"/>
          <w:lang w:val="en-GB"/>
        </w:rPr>
        <w:t>Section</w:t>
      </w:r>
      <w:r w:rsidRPr="00C93410">
        <w:rPr>
          <w:rFonts w:ascii="Times New Roman" w:hAnsi="Times New Roman" w:cs="Times New Roman"/>
          <w:sz w:val="28"/>
          <w:szCs w:val="28"/>
          <w:lang w:val="en-GB"/>
        </w:rPr>
        <w:t xml:space="preserve"> XI </w:t>
      </w:r>
      <w:r w:rsidR="001968F8" w:rsidRPr="00C93410">
        <w:rPr>
          <w:rFonts w:ascii="Times New Roman" w:hAnsi="Times New Roman" w:cs="Times New Roman"/>
          <w:sz w:val="28"/>
          <w:szCs w:val="28"/>
          <w:lang w:val="en-GB"/>
        </w:rPr>
        <w:t>“</w:t>
      </w:r>
      <w:r w:rsidRPr="00C93410">
        <w:rPr>
          <w:rFonts w:ascii="Times New Roman" w:hAnsi="Times New Roman" w:cs="Times New Roman"/>
          <w:sz w:val="28"/>
          <w:szCs w:val="28"/>
          <w:lang w:val="en-GB"/>
        </w:rPr>
        <w:t>Final and Transitional Provisions</w:t>
      </w:r>
      <w:r w:rsidR="001968F8" w:rsidRPr="00C93410">
        <w:rPr>
          <w:rFonts w:ascii="Times New Roman" w:hAnsi="Times New Roman" w:cs="Times New Roman"/>
          <w:sz w:val="28"/>
          <w:szCs w:val="28"/>
          <w:lang w:val="en-GB"/>
        </w:rPr>
        <w:t>”</w:t>
      </w:r>
      <w:r w:rsidRPr="00C93410">
        <w:rPr>
          <w:rFonts w:ascii="Times New Roman" w:hAnsi="Times New Roman" w:cs="Times New Roman"/>
          <w:sz w:val="28"/>
          <w:szCs w:val="28"/>
          <w:lang w:val="en-GB"/>
        </w:rPr>
        <w:t xml:space="preserve">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Law No.</w:t>
      </w:r>
      <w:r w:rsidR="00537C08" w:rsidRPr="00C93410">
        <w:rPr>
          <w:rFonts w:ascii="Times New Roman" w:hAnsi="Times New Roman" w:cs="Times New Roman"/>
          <w:sz w:val="28"/>
          <w:szCs w:val="28"/>
          <w:lang w:val="en-GB"/>
        </w:rPr>
        <w:t> </w:t>
      </w:r>
      <w:r w:rsidRPr="00C93410">
        <w:rPr>
          <w:rFonts w:ascii="Times New Roman" w:hAnsi="Times New Roman" w:cs="Times New Roman"/>
          <w:sz w:val="28"/>
          <w:szCs w:val="28"/>
          <w:lang w:val="en-GB"/>
        </w:rPr>
        <w:t>889. However, these persons are not granted the right to indexation and recalculation of the amount of their pensions.</w:t>
      </w:r>
    </w:p>
    <w:p w:rsidR="00006D97" w:rsidRPr="00C93410" w:rsidRDefault="00EC1B3A" w:rsidP="00FD5CBE">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The Constitutional Court takes into account that Article 46 and other provisions of the Constitution do not envisage indications of rights or guarantees regarding the application of “special conditions” or “special procedure” for the pension provision of the subject of the right to constitutional complaint and other public servants.</w:t>
      </w:r>
    </w:p>
    <w:p w:rsidR="00293989" w:rsidRPr="00C93410" w:rsidRDefault="002D3C88" w:rsidP="004E0FB2">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Taking into account the content and scope of the constitutional powers of the Verkhovna Rada regarding the legislative regulation of pension provision, the Constitutional Court proceeds from the fact that, according to the provisions of the Basic Law, the legislator has a certain margin of appreciation regarding the definition of the content and individual components of the legal mechanism of pension regulation, as well as regarding the adoption of laws by which the latter changes such a mechanism.</w:t>
      </w:r>
    </w:p>
    <w:p w:rsidR="00FA48D8" w:rsidRPr="00C93410" w:rsidRDefault="004E7297" w:rsidP="004E7297">
      <w:pPr>
        <w:pStyle w:val="HTML"/>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That is, the Verkhovna Rada can define and further change the f</w:t>
      </w:r>
      <w:r w:rsidR="00DD4FBB">
        <w:rPr>
          <w:rFonts w:ascii="Times New Roman" w:hAnsi="Times New Roman" w:cs="Times New Roman"/>
          <w:sz w:val="28"/>
          <w:szCs w:val="28"/>
          <w:lang w:val="en-GB"/>
        </w:rPr>
        <w:t>undamentals</w:t>
      </w:r>
      <w:r w:rsidRPr="00C93410">
        <w:rPr>
          <w:rFonts w:ascii="Times New Roman" w:hAnsi="Times New Roman" w:cs="Times New Roman"/>
          <w:sz w:val="28"/>
          <w:szCs w:val="28"/>
          <w:lang w:val="en-GB"/>
        </w:rPr>
        <w:t xml:space="preserve"> of social protection, forms and types of pension provision in laws (Article 92.1.6 of the Constitution).</w:t>
      </w:r>
    </w:p>
    <w:p w:rsidR="004E7297" w:rsidRPr="00C93410" w:rsidRDefault="004E7297" w:rsidP="00B83398">
      <w:pPr>
        <w:pStyle w:val="HTML"/>
        <w:ind w:firstLine="851"/>
        <w:jc w:val="both"/>
        <w:rPr>
          <w:rFonts w:ascii="Times New Roman" w:hAnsi="Times New Roman" w:cs="Times New Roman"/>
          <w:sz w:val="28"/>
          <w:szCs w:val="28"/>
          <w:highlight w:val="yellow"/>
          <w:lang w:val="en-GB"/>
        </w:rPr>
      </w:pPr>
      <w:r w:rsidRPr="00C93410">
        <w:rPr>
          <w:rFonts w:ascii="Times New Roman" w:hAnsi="Times New Roman" w:cs="Times New Roman"/>
          <w:sz w:val="28"/>
          <w:szCs w:val="28"/>
          <w:lang w:val="en-GB"/>
        </w:rPr>
        <w:t>The Constitutional Court believes that the Verk</w:t>
      </w:r>
      <w:r w:rsidR="00435892" w:rsidRPr="00C93410">
        <w:rPr>
          <w:rFonts w:ascii="Times New Roman" w:hAnsi="Times New Roman" w:cs="Times New Roman"/>
          <w:sz w:val="28"/>
          <w:szCs w:val="28"/>
          <w:lang w:val="en-GB"/>
        </w:rPr>
        <w:t xml:space="preserve">hovna Rada, by adopting </w:t>
      </w:r>
      <w:r w:rsidR="00EF7D16">
        <w:rPr>
          <w:rFonts w:ascii="Times New Roman" w:hAnsi="Times New Roman" w:cs="Times New Roman"/>
          <w:sz w:val="28"/>
          <w:szCs w:val="28"/>
          <w:lang w:val="en-GB"/>
        </w:rPr>
        <w:t xml:space="preserve">the </w:t>
      </w:r>
      <w:r w:rsidR="00435892" w:rsidRPr="00C93410">
        <w:rPr>
          <w:rFonts w:ascii="Times New Roman" w:hAnsi="Times New Roman" w:cs="Times New Roman"/>
          <w:sz w:val="28"/>
          <w:szCs w:val="28"/>
          <w:lang w:val="en-GB"/>
        </w:rPr>
        <w:t>Law No. </w:t>
      </w:r>
      <w:r w:rsidRPr="00C93410">
        <w:rPr>
          <w:rFonts w:ascii="Times New Roman" w:hAnsi="Times New Roman" w:cs="Times New Roman"/>
          <w:sz w:val="28"/>
          <w:szCs w:val="28"/>
          <w:lang w:val="en-GB"/>
        </w:rPr>
        <w:t>889, implemented its constitutional powers as the only body of legislative power in Uk</w:t>
      </w:r>
      <w:r w:rsidR="00DD4FBB">
        <w:rPr>
          <w:rFonts w:ascii="Times New Roman" w:hAnsi="Times New Roman" w:cs="Times New Roman"/>
          <w:sz w:val="28"/>
          <w:szCs w:val="28"/>
          <w:lang w:val="en-GB"/>
        </w:rPr>
        <w:t xml:space="preserve">raine to determine in laws the </w:t>
      </w:r>
      <w:r w:rsidR="00DD4FBB">
        <w:rPr>
          <w:rFonts w:ascii="Times New Roman" w:hAnsi="Times New Roman" w:cs="Times New Roman"/>
          <w:sz w:val="28"/>
          <w:szCs w:val="28"/>
          <w:lang w:val="en-US"/>
        </w:rPr>
        <w:t>fundamentals</w:t>
      </w:r>
      <w:r w:rsidRPr="00C93410">
        <w:rPr>
          <w:rFonts w:ascii="Times New Roman" w:hAnsi="Times New Roman" w:cs="Times New Roman"/>
          <w:sz w:val="28"/>
          <w:szCs w:val="28"/>
          <w:lang w:val="en-GB"/>
        </w:rPr>
        <w:t xml:space="preserve"> of social protection, forms and types of pension provision for public servants.</w:t>
      </w:r>
    </w:p>
    <w:p w:rsidR="004E7297" w:rsidRPr="00C93410" w:rsidRDefault="00594203" w:rsidP="00B83398">
      <w:pPr>
        <w:pStyle w:val="HTML"/>
        <w:ind w:firstLine="851"/>
        <w:jc w:val="both"/>
        <w:rPr>
          <w:rFonts w:ascii="Times New Roman" w:hAnsi="Times New Roman" w:cs="Times New Roman"/>
          <w:sz w:val="28"/>
          <w:szCs w:val="28"/>
          <w:highlight w:val="yellow"/>
          <w:lang w:val="en-GB"/>
        </w:rPr>
      </w:pPr>
      <w:r w:rsidRPr="00C93410">
        <w:rPr>
          <w:rFonts w:ascii="Times New Roman" w:hAnsi="Times New Roman" w:cs="Times New Roman"/>
          <w:sz w:val="28"/>
          <w:szCs w:val="28"/>
          <w:lang w:val="en-GB"/>
        </w:rPr>
        <w:t xml:space="preserve">Since May 1, 2016, the pension provision of public servants has been regulated by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Law No. 1058 as a general law (</w:t>
      </w:r>
      <w:r w:rsidRPr="00C93410">
        <w:rPr>
          <w:rFonts w:ascii="Times New Roman" w:hAnsi="Times New Roman" w:cs="Times New Roman"/>
          <w:i/>
          <w:sz w:val="28"/>
          <w:szCs w:val="28"/>
          <w:lang w:val="en-GB"/>
        </w:rPr>
        <w:t>lex generalis</w:t>
      </w:r>
      <w:r w:rsidRPr="00C93410">
        <w:rPr>
          <w:rFonts w:ascii="Times New Roman" w:hAnsi="Times New Roman" w:cs="Times New Roman"/>
          <w:sz w:val="28"/>
          <w:szCs w:val="28"/>
          <w:lang w:val="en-GB"/>
        </w:rPr>
        <w:t>), with the exception of persons specified in paragraphs 10</w:t>
      </w:r>
      <w:r w:rsidR="00EF7D16">
        <w:rPr>
          <w:rFonts w:ascii="Times New Roman" w:hAnsi="Times New Roman" w:cs="Times New Roman"/>
          <w:sz w:val="28"/>
          <w:szCs w:val="28"/>
          <w:lang w:val="en-GB"/>
        </w:rPr>
        <w:t xml:space="preserve"> and</w:t>
      </w:r>
      <w:r w:rsidRPr="00C93410">
        <w:rPr>
          <w:rFonts w:ascii="Times New Roman" w:hAnsi="Times New Roman" w:cs="Times New Roman"/>
          <w:sz w:val="28"/>
          <w:szCs w:val="28"/>
          <w:lang w:val="en-GB"/>
        </w:rPr>
        <w:t xml:space="preserve"> 12 of Section XI “Final and Transitional Provisions”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 xml:space="preserve">Law No. 889, to whose pension provision Article 37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Law No. 3723 as a norm of a special law (</w:t>
      </w:r>
      <w:r w:rsidRPr="00C93410">
        <w:rPr>
          <w:rFonts w:ascii="Times New Roman" w:hAnsi="Times New Roman" w:cs="Times New Roman"/>
          <w:i/>
          <w:sz w:val="28"/>
          <w:szCs w:val="28"/>
          <w:lang w:val="en-GB"/>
        </w:rPr>
        <w:t>lex specialis</w:t>
      </w:r>
      <w:r w:rsidR="00396619" w:rsidRPr="00C93410">
        <w:rPr>
          <w:rFonts w:ascii="Times New Roman" w:hAnsi="Times New Roman" w:cs="Times New Roman"/>
          <w:sz w:val="28"/>
          <w:szCs w:val="28"/>
          <w:lang w:val="en-GB"/>
        </w:rPr>
        <w:t>) may be applied.</w:t>
      </w:r>
    </w:p>
    <w:p w:rsidR="00594203" w:rsidRPr="00C93410" w:rsidRDefault="00E109A6" w:rsidP="00B83398">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 xml:space="preserve">Expanding the range of persons who would be granted the right to receive a pension based on Article 37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 xml:space="preserve">Law No. 3723 would contradict not only the will of the legislator, who had already defined the range of such persons in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Law No. 889, but also the practice of</w:t>
      </w:r>
      <w:r w:rsidR="00DD4FBB">
        <w:rPr>
          <w:rFonts w:ascii="Times New Roman" w:hAnsi="Times New Roman" w:cs="Times New Roman"/>
          <w:sz w:val="28"/>
          <w:szCs w:val="28"/>
          <w:lang w:val="en-GB"/>
        </w:rPr>
        <w:t xml:space="preserve"> applying Article 37 of </w:t>
      </w:r>
      <w:r w:rsidR="00EF7D16">
        <w:rPr>
          <w:rFonts w:ascii="Times New Roman" w:hAnsi="Times New Roman" w:cs="Times New Roman"/>
          <w:sz w:val="28"/>
          <w:szCs w:val="28"/>
          <w:lang w:val="en-GB"/>
        </w:rPr>
        <w:t xml:space="preserve">the </w:t>
      </w:r>
      <w:r w:rsidR="00DD4FBB">
        <w:rPr>
          <w:rFonts w:ascii="Times New Roman" w:hAnsi="Times New Roman" w:cs="Times New Roman"/>
          <w:sz w:val="28"/>
          <w:szCs w:val="28"/>
          <w:lang w:val="en-GB"/>
        </w:rPr>
        <w:t>Law No. </w:t>
      </w:r>
      <w:r w:rsidRPr="00C93410">
        <w:rPr>
          <w:rFonts w:ascii="Times New Roman" w:hAnsi="Times New Roman" w:cs="Times New Roman"/>
          <w:sz w:val="28"/>
          <w:szCs w:val="28"/>
          <w:lang w:val="en-GB"/>
        </w:rPr>
        <w:t>3723 as of a special law (</w:t>
      </w:r>
      <w:r w:rsidRPr="00C93410">
        <w:rPr>
          <w:rFonts w:ascii="Times New Roman" w:hAnsi="Times New Roman" w:cs="Times New Roman"/>
          <w:i/>
          <w:sz w:val="28"/>
          <w:szCs w:val="28"/>
          <w:lang w:val="en-GB"/>
        </w:rPr>
        <w:t>lex specialis</w:t>
      </w:r>
      <w:r w:rsidRPr="00C93410">
        <w:rPr>
          <w:rFonts w:ascii="Times New Roman" w:hAnsi="Times New Roman" w:cs="Times New Roman"/>
          <w:sz w:val="28"/>
          <w:szCs w:val="28"/>
          <w:lang w:val="en-GB"/>
        </w:rPr>
        <w:t>), which should not be interpreted and applied broadly.</w:t>
      </w:r>
    </w:p>
    <w:p w:rsidR="00C26D95" w:rsidRPr="00C93410" w:rsidRDefault="00BF0E97" w:rsidP="00B83398">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The Constitutional Court takes into account that the long-term, namely from January 1, 1994 to May 1, 2016, normali</w:t>
      </w:r>
      <w:r w:rsidR="00695734">
        <w:rPr>
          <w:rFonts w:ascii="Times New Roman" w:hAnsi="Times New Roman" w:cs="Times New Roman"/>
          <w:sz w:val="28"/>
          <w:szCs w:val="28"/>
          <w:lang w:val="en-GB"/>
        </w:rPr>
        <w:t>s</w:t>
      </w:r>
      <w:r w:rsidRPr="00C93410">
        <w:rPr>
          <w:rFonts w:ascii="Times New Roman" w:hAnsi="Times New Roman" w:cs="Times New Roman"/>
          <w:sz w:val="28"/>
          <w:szCs w:val="28"/>
          <w:lang w:val="en-GB"/>
        </w:rPr>
        <w:t xml:space="preserve">ation of the pension provision of </w:t>
      </w:r>
      <w:r w:rsidR="00E97E5F" w:rsidRPr="00C93410">
        <w:rPr>
          <w:rFonts w:ascii="Times New Roman" w:hAnsi="Times New Roman" w:cs="Times New Roman"/>
          <w:sz w:val="28"/>
          <w:szCs w:val="28"/>
          <w:lang w:val="en-GB"/>
        </w:rPr>
        <w:t>public</w:t>
      </w:r>
      <w:r w:rsidRPr="00C93410">
        <w:rPr>
          <w:rFonts w:ascii="Times New Roman" w:hAnsi="Times New Roman" w:cs="Times New Roman"/>
          <w:sz w:val="28"/>
          <w:szCs w:val="28"/>
          <w:lang w:val="en-GB"/>
        </w:rPr>
        <w:t xml:space="preserve"> servan</w:t>
      </w:r>
      <w:r w:rsidR="00695734">
        <w:rPr>
          <w:rFonts w:ascii="Times New Roman" w:hAnsi="Times New Roman" w:cs="Times New Roman"/>
          <w:sz w:val="28"/>
          <w:szCs w:val="28"/>
          <w:lang w:val="en-GB"/>
        </w:rPr>
        <w:t xml:space="preserve">ts by the provisions of </w:t>
      </w:r>
      <w:r w:rsidR="00EF7D16">
        <w:rPr>
          <w:rFonts w:ascii="Times New Roman" w:hAnsi="Times New Roman" w:cs="Times New Roman"/>
          <w:sz w:val="28"/>
          <w:szCs w:val="28"/>
          <w:lang w:val="en-GB"/>
        </w:rPr>
        <w:t xml:space="preserve">the </w:t>
      </w:r>
      <w:r w:rsidR="00695734">
        <w:rPr>
          <w:rFonts w:ascii="Times New Roman" w:hAnsi="Times New Roman" w:cs="Times New Roman"/>
          <w:sz w:val="28"/>
          <w:szCs w:val="28"/>
          <w:lang w:val="en-GB"/>
        </w:rPr>
        <w:t>Law No. </w:t>
      </w:r>
      <w:r w:rsidRPr="00C93410">
        <w:rPr>
          <w:rFonts w:ascii="Times New Roman" w:hAnsi="Times New Roman" w:cs="Times New Roman"/>
          <w:sz w:val="28"/>
          <w:szCs w:val="28"/>
          <w:lang w:val="en-GB"/>
        </w:rPr>
        <w:t xml:space="preserve">3723 can be considered as a legitimate (legal) </w:t>
      </w:r>
      <w:r w:rsidRPr="00C93410">
        <w:rPr>
          <w:rFonts w:ascii="Times New Roman" w:hAnsi="Times New Roman" w:cs="Times New Roman"/>
          <w:sz w:val="28"/>
          <w:szCs w:val="28"/>
          <w:lang w:val="en-GB"/>
        </w:rPr>
        <w:lastRenderedPageBreak/>
        <w:t>basis for the formation of the subject's right to constitutional complaint and other state employees have certain legitimate expectations regarding their pension provision in accordance</w:t>
      </w:r>
      <w:r w:rsidR="00BD605B" w:rsidRPr="00C93410">
        <w:rPr>
          <w:rFonts w:ascii="Times New Roman" w:hAnsi="Times New Roman" w:cs="Times New Roman"/>
          <w:sz w:val="28"/>
          <w:szCs w:val="28"/>
          <w:lang w:val="en-GB"/>
        </w:rPr>
        <w:t xml:space="preserve"> with the provisions of </w:t>
      </w:r>
      <w:r w:rsidR="00EF7D16">
        <w:rPr>
          <w:rFonts w:ascii="Times New Roman" w:hAnsi="Times New Roman" w:cs="Times New Roman"/>
          <w:sz w:val="28"/>
          <w:szCs w:val="28"/>
          <w:lang w:val="en-GB"/>
        </w:rPr>
        <w:t xml:space="preserve">the </w:t>
      </w:r>
      <w:r w:rsidR="00BD605B" w:rsidRPr="00C93410">
        <w:rPr>
          <w:rFonts w:ascii="Times New Roman" w:hAnsi="Times New Roman" w:cs="Times New Roman"/>
          <w:sz w:val="28"/>
          <w:szCs w:val="28"/>
          <w:lang w:val="en-GB"/>
        </w:rPr>
        <w:t>Law No. </w:t>
      </w:r>
      <w:r w:rsidRPr="00C93410">
        <w:rPr>
          <w:rFonts w:ascii="Times New Roman" w:hAnsi="Times New Roman" w:cs="Times New Roman"/>
          <w:sz w:val="28"/>
          <w:szCs w:val="28"/>
          <w:lang w:val="en-GB"/>
        </w:rPr>
        <w:t>3723.</w:t>
      </w:r>
    </w:p>
    <w:p w:rsidR="00C26D95" w:rsidRPr="00C93410" w:rsidRDefault="00AD2295" w:rsidP="00B83398">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 xml:space="preserve">Article 37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Law No. </w:t>
      </w:r>
      <w:r w:rsidR="00E97E5F" w:rsidRPr="00C93410">
        <w:rPr>
          <w:rFonts w:ascii="Times New Roman" w:hAnsi="Times New Roman" w:cs="Times New Roman"/>
          <w:sz w:val="28"/>
          <w:szCs w:val="28"/>
          <w:lang w:val="en-GB"/>
        </w:rPr>
        <w:t xml:space="preserve">3723, in the wording in effect at the </w:t>
      </w:r>
      <w:r w:rsidRPr="00C93410">
        <w:rPr>
          <w:rFonts w:ascii="Times New Roman" w:hAnsi="Times New Roman" w:cs="Times New Roman"/>
          <w:sz w:val="28"/>
          <w:szCs w:val="28"/>
          <w:lang w:val="en-GB"/>
        </w:rPr>
        <w:t xml:space="preserve">time of the adoption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Law No. </w:t>
      </w:r>
      <w:r w:rsidR="00E97E5F" w:rsidRPr="00C93410">
        <w:rPr>
          <w:rFonts w:ascii="Times New Roman" w:hAnsi="Times New Roman" w:cs="Times New Roman"/>
          <w:sz w:val="28"/>
          <w:szCs w:val="28"/>
          <w:lang w:val="en-GB"/>
        </w:rPr>
        <w:t xml:space="preserve">889, defined the minimum required period of tenure of a person in a public service position as a condition for acquiring the right to the </w:t>
      </w:r>
      <w:r w:rsidR="00D579A8">
        <w:rPr>
          <w:rFonts w:ascii="Times New Roman" w:hAnsi="Times New Roman" w:cs="Times New Roman"/>
          <w:sz w:val="28"/>
          <w:szCs w:val="28"/>
          <w:lang w:val="en-GB"/>
        </w:rPr>
        <w:t>accrual</w:t>
      </w:r>
      <w:r w:rsidR="00E97E5F" w:rsidRPr="00C93410">
        <w:rPr>
          <w:rFonts w:ascii="Times New Roman" w:hAnsi="Times New Roman" w:cs="Times New Roman"/>
          <w:sz w:val="28"/>
          <w:szCs w:val="28"/>
          <w:lang w:val="en-GB"/>
        </w:rPr>
        <w:t xml:space="preserve"> of a public servant's pension.</w:t>
      </w:r>
    </w:p>
    <w:p w:rsidR="00C53C79" w:rsidRPr="00C93410" w:rsidRDefault="002D56F9" w:rsidP="00B83398">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 xml:space="preserve">According to the contested provision of subparagraph 1 of paragraph 2 of Section XI “Final and Transitional Provisions”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 xml:space="preserve">Law No. 889, the right to be granted a pension on the basis of Article 37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Law No.</w:t>
      </w:r>
      <w:r w:rsidR="00AD2295" w:rsidRPr="00C93410">
        <w:rPr>
          <w:lang w:val="en-GB"/>
        </w:rPr>
        <w:t> </w:t>
      </w:r>
      <w:r w:rsidRPr="00C93410">
        <w:rPr>
          <w:rFonts w:ascii="Times New Roman" w:hAnsi="Times New Roman" w:cs="Times New Roman"/>
          <w:sz w:val="28"/>
          <w:szCs w:val="28"/>
          <w:lang w:val="en-GB"/>
        </w:rPr>
        <w:t>3723 as a special law (</w:t>
      </w:r>
      <w:r w:rsidRPr="00C93410">
        <w:rPr>
          <w:rFonts w:ascii="Times New Roman" w:hAnsi="Times New Roman" w:cs="Times New Roman"/>
          <w:i/>
          <w:sz w:val="28"/>
          <w:szCs w:val="28"/>
          <w:lang w:val="en-GB"/>
        </w:rPr>
        <w:t>lex specialis</w:t>
      </w:r>
      <w:r w:rsidRPr="00C93410">
        <w:rPr>
          <w:rFonts w:ascii="Times New Roman" w:hAnsi="Times New Roman" w:cs="Times New Roman"/>
          <w:sz w:val="28"/>
          <w:szCs w:val="28"/>
          <w:lang w:val="en-GB"/>
        </w:rPr>
        <w:t xml:space="preserve">) was acquired by persons who had 10 years of </w:t>
      </w:r>
      <w:r w:rsidR="00AD2295" w:rsidRPr="00C93410">
        <w:rPr>
          <w:rFonts w:ascii="Times New Roman" w:hAnsi="Times New Roman" w:cs="Times New Roman"/>
          <w:sz w:val="28"/>
          <w:szCs w:val="28"/>
          <w:lang w:val="en-GB"/>
        </w:rPr>
        <w:t>public</w:t>
      </w:r>
      <w:r w:rsidRPr="00C93410">
        <w:rPr>
          <w:rFonts w:ascii="Times New Roman" w:hAnsi="Times New Roman" w:cs="Times New Roman"/>
          <w:sz w:val="28"/>
          <w:szCs w:val="28"/>
          <w:lang w:val="en-GB"/>
        </w:rPr>
        <w:t xml:space="preserve"> service experience and were on relevant positions as of May 1, 2016 (</w:t>
      </w:r>
      <w:r w:rsidR="00AD2295" w:rsidRPr="00C93410">
        <w:rPr>
          <w:rFonts w:ascii="Times New Roman" w:hAnsi="Times New Roman" w:cs="Times New Roman"/>
          <w:sz w:val="28"/>
          <w:szCs w:val="28"/>
          <w:lang w:val="en-GB"/>
        </w:rPr>
        <w:t>paragraph</w:t>
      </w:r>
      <w:r w:rsidRPr="00C93410">
        <w:rPr>
          <w:rFonts w:ascii="Times New Roman" w:hAnsi="Times New Roman" w:cs="Times New Roman"/>
          <w:sz w:val="28"/>
          <w:szCs w:val="28"/>
          <w:lang w:val="en-GB"/>
        </w:rPr>
        <w:t xml:space="preserve"> 10); persons who had 20 years of </w:t>
      </w:r>
      <w:r w:rsidR="00AD2295" w:rsidRPr="00C93410">
        <w:rPr>
          <w:rFonts w:ascii="Times New Roman" w:hAnsi="Times New Roman" w:cs="Times New Roman"/>
          <w:sz w:val="28"/>
          <w:szCs w:val="28"/>
          <w:lang w:val="en-GB"/>
        </w:rPr>
        <w:t>public</w:t>
      </w:r>
      <w:r w:rsidRPr="00C93410">
        <w:rPr>
          <w:rFonts w:ascii="Times New Roman" w:hAnsi="Times New Roman" w:cs="Times New Roman"/>
          <w:sz w:val="28"/>
          <w:szCs w:val="28"/>
          <w:lang w:val="en-GB"/>
        </w:rPr>
        <w:t xml:space="preserve"> service experience regardless of their place of work on the date of entry into force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Law No. 889 (paragraph 12).</w:t>
      </w:r>
    </w:p>
    <w:p w:rsidR="002D56F9" w:rsidRPr="00C93410" w:rsidRDefault="00AD2295" w:rsidP="00B83398">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The Constitutional Court takes into account that the differentiation of the rights of participants in social relations according to a certain time (temporal) indicator [for example, according to the length of time in public service positions (length of service)] is a traditional and widespread means of normative regulation, the application of which in the legislation itself does not testify to the d</w:t>
      </w:r>
      <w:r w:rsidR="004627A1" w:rsidRPr="00C93410">
        <w:rPr>
          <w:rFonts w:ascii="Times New Roman" w:hAnsi="Times New Roman" w:cs="Times New Roman"/>
          <w:sz w:val="28"/>
          <w:szCs w:val="28"/>
          <w:lang w:val="en-GB"/>
        </w:rPr>
        <w:t>iscriminatory nature of such provisions</w:t>
      </w:r>
      <w:r w:rsidRPr="00C93410">
        <w:rPr>
          <w:rFonts w:ascii="Times New Roman" w:hAnsi="Times New Roman" w:cs="Times New Roman"/>
          <w:sz w:val="28"/>
          <w:szCs w:val="28"/>
          <w:lang w:val="en-GB"/>
        </w:rPr>
        <w:t>.</w:t>
      </w:r>
    </w:p>
    <w:p w:rsidR="00AD2295" w:rsidRPr="00C93410" w:rsidRDefault="00AD2295" w:rsidP="00B83398">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 xml:space="preserve">Legitimate expectations of the subject of the right to constitutional complaint and other public servants regarding the conditions for granting them pensions could be formed only taking into account the fact that the acquisition of the right to be granted a pension on the basis of Article 37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 xml:space="preserve">Law No. 3723 and before the entry into force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Law No. 889 was conditioned by the availability of 10 or 20 years of public service experience.</w:t>
      </w:r>
    </w:p>
    <w:p w:rsidR="00AD2295" w:rsidRPr="00C93410" w:rsidRDefault="00AD2295" w:rsidP="00B83398">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At the same time, the subject of the right to constitutional complaint and other persons to whom the effect of paragraphs 10</w:t>
      </w:r>
      <w:r w:rsidR="00EF7D16">
        <w:rPr>
          <w:rFonts w:ascii="Times New Roman" w:hAnsi="Times New Roman" w:cs="Times New Roman"/>
          <w:sz w:val="28"/>
          <w:szCs w:val="28"/>
          <w:lang w:val="en-GB"/>
        </w:rPr>
        <w:t xml:space="preserve"> and</w:t>
      </w:r>
      <w:r w:rsidRPr="00C93410">
        <w:rPr>
          <w:rFonts w:ascii="Times New Roman" w:hAnsi="Times New Roman" w:cs="Times New Roman"/>
          <w:sz w:val="28"/>
          <w:szCs w:val="28"/>
          <w:lang w:val="en-GB"/>
        </w:rPr>
        <w:t xml:space="preserve"> 12 of Section XI “Final and Transitional Provisions”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 xml:space="preserve">Law No. 889 is extended are granted the right to the </w:t>
      </w:r>
      <w:r w:rsidR="00CA76A7" w:rsidRPr="00C93410">
        <w:rPr>
          <w:rFonts w:ascii="Times New Roman" w:hAnsi="Times New Roman" w:cs="Times New Roman"/>
          <w:sz w:val="28"/>
          <w:szCs w:val="28"/>
          <w:lang w:val="en-GB"/>
        </w:rPr>
        <w:t>a</w:t>
      </w:r>
      <w:r w:rsidR="00D579A8">
        <w:rPr>
          <w:rFonts w:ascii="Times New Roman" w:hAnsi="Times New Roman" w:cs="Times New Roman"/>
          <w:sz w:val="28"/>
          <w:szCs w:val="28"/>
          <w:lang w:val="en-GB"/>
        </w:rPr>
        <w:t>ccrual</w:t>
      </w:r>
      <w:r w:rsidRPr="00C93410">
        <w:rPr>
          <w:rFonts w:ascii="Times New Roman" w:hAnsi="Times New Roman" w:cs="Times New Roman"/>
          <w:sz w:val="28"/>
          <w:szCs w:val="28"/>
          <w:lang w:val="en-GB"/>
        </w:rPr>
        <w:t xml:space="preserve"> of a pension on the basis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Law No. 1058 as a general law (</w:t>
      </w:r>
      <w:r w:rsidRPr="00C93410">
        <w:rPr>
          <w:rFonts w:ascii="Times New Roman" w:hAnsi="Times New Roman" w:cs="Times New Roman"/>
          <w:i/>
          <w:sz w:val="28"/>
          <w:szCs w:val="28"/>
          <w:lang w:val="en-GB"/>
        </w:rPr>
        <w:t>lex generalis</w:t>
      </w:r>
      <w:r w:rsidRPr="00C93410">
        <w:rPr>
          <w:rFonts w:ascii="Times New Roman" w:hAnsi="Times New Roman" w:cs="Times New Roman"/>
          <w:sz w:val="28"/>
          <w:szCs w:val="28"/>
          <w:lang w:val="en-GB"/>
        </w:rPr>
        <w:t>), which regulates pension provision.</w:t>
      </w:r>
    </w:p>
    <w:p w:rsidR="00AD2295" w:rsidRPr="00C93410" w:rsidRDefault="00743EE0" w:rsidP="00F04D49">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Choosing one of the specified grounds for pension a</w:t>
      </w:r>
      <w:r w:rsidR="00D579A8">
        <w:rPr>
          <w:rFonts w:ascii="Times New Roman" w:hAnsi="Times New Roman" w:cs="Times New Roman"/>
          <w:sz w:val="28"/>
          <w:szCs w:val="28"/>
          <w:lang w:val="en-GB"/>
        </w:rPr>
        <w:t>ccrual</w:t>
      </w:r>
      <w:r w:rsidRPr="00C93410">
        <w:rPr>
          <w:rFonts w:ascii="Times New Roman" w:hAnsi="Times New Roman" w:cs="Times New Roman"/>
          <w:sz w:val="28"/>
          <w:szCs w:val="28"/>
          <w:lang w:val="en-GB"/>
        </w:rPr>
        <w:t xml:space="preserve"> gives an opportunity to choose the pension the </w:t>
      </w:r>
      <w:r w:rsidR="00F04D49" w:rsidRPr="00C93410">
        <w:rPr>
          <w:rFonts w:ascii="Times New Roman" w:hAnsi="Times New Roman" w:cs="Times New Roman"/>
          <w:sz w:val="28"/>
          <w:szCs w:val="28"/>
          <w:lang w:val="en-GB"/>
        </w:rPr>
        <w:t>amount</w:t>
      </w:r>
      <w:r w:rsidRPr="00C93410">
        <w:rPr>
          <w:rFonts w:ascii="Times New Roman" w:hAnsi="Times New Roman" w:cs="Times New Roman"/>
          <w:sz w:val="28"/>
          <w:szCs w:val="28"/>
          <w:lang w:val="en-GB"/>
        </w:rPr>
        <w:t xml:space="preserve"> of which will be larger.</w:t>
      </w:r>
    </w:p>
    <w:p w:rsidR="00AD2295" w:rsidRPr="00C93410" w:rsidRDefault="005F684E" w:rsidP="00F04D49">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In view of the above, the Constitutional Court concluded that the legitimate expectations of the subject of the right to constitutional complaint and other persons who were granted the right to the a</w:t>
      </w:r>
      <w:r w:rsidR="00D579A8">
        <w:rPr>
          <w:rFonts w:ascii="Times New Roman" w:hAnsi="Times New Roman" w:cs="Times New Roman"/>
          <w:sz w:val="28"/>
          <w:szCs w:val="28"/>
          <w:lang w:val="en-GB"/>
        </w:rPr>
        <w:t>ccrual</w:t>
      </w:r>
      <w:r w:rsidRPr="00C93410">
        <w:rPr>
          <w:rFonts w:ascii="Times New Roman" w:hAnsi="Times New Roman" w:cs="Times New Roman"/>
          <w:sz w:val="28"/>
          <w:szCs w:val="28"/>
          <w:lang w:val="en-GB"/>
        </w:rPr>
        <w:t xml:space="preserve"> of a pension on the</w:t>
      </w:r>
      <w:r w:rsidR="00185020" w:rsidRPr="00C93410">
        <w:rPr>
          <w:rFonts w:ascii="Times New Roman" w:hAnsi="Times New Roman" w:cs="Times New Roman"/>
          <w:sz w:val="28"/>
          <w:szCs w:val="28"/>
          <w:lang w:val="en-GB"/>
        </w:rPr>
        <w:t xml:space="preserve"> basis of Article 37 of Law No. </w:t>
      </w:r>
      <w:r w:rsidR="00071AAC" w:rsidRPr="00C93410">
        <w:rPr>
          <w:rFonts w:ascii="Times New Roman" w:hAnsi="Times New Roman" w:cs="Times New Roman"/>
          <w:sz w:val="28"/>
          <w:szCs w:val="28"/>
          <w:lang w:val="en-GB"/>
        </w:rPr>
        <w:t>3723 or on the basis of Law No.</w:t>
      </w:r>
      <w:r w:rsidR="00071AAC" w:rsidRPr="00C93410">
        <w:rPr>
          <w:lang w:val="en-GB"/>
        </w:rPr>
        <w:t> </w:t>
      </w:r>
      <w:r w:rsidRPr="00C93410">
        <w:rPr>
          <w:rFonts w:ascii="Times New Roman" w:hAnsi="Times New Roman" w:cs="Times New Roman"/>
          <w:sz w:val="28"/>
          <w:szCs w:val="28"/>
          <w:lang w:val="en-GB"/>
        </w:rPr>
        <w:t>1058 were not destroyed.</w:t>
      </w:r>
    </w:p>
    <w:p w:rsidR="005F684E" w:rsidRPr="00C93410" w:rsidRDefault="007A2DCA" w:rsidP="00B83398">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The positive duties of the state in the field of social protection consist, in particular, in the proper normalisation of relations in this field.</w:t>
      </w:r>
    </w:p>
    <w:p w:rsidR="00456575" w:rsidRPr="00C93410" w:rsidRDefault="004B26F0" w:rsidP="00DB6EF4">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The mechanism of legislative regulation of pension provision will comply with the constitutional pr</w:t>
      </w:r>
      <w:r w:rsidR="00A57A04" w:rsidRPr="00C93410">
        <w:rPr>
          <w:rFonts w:ascii="Times New Roman" w:hAnsi="Times New Roman" w:cs="Times New Roman"/>
          <w:sz w:val="28"/>
          <w:szCs w:val="28"/>
          <w:lang w:val="en-GB"/>
        </w:rPr>
        <w:t>ovisions</w:t>
      </w:r>
      <w:r w:rsidRPr="00C93410">
        <w:rPr>
          <w:rFonts w:ascii="Times New Roman" w:hAnsi="Times New Roman" w:cs="Times New Roman"/>
          <w:sz w:val="28"/>
          <w:szCs w:val="28"/>
          <w:lang w:val="en-GB"/>
        </w:rPr>
        <w:t xml:space="preserve"> if it ensures the effective functioning of the system of protection of human life, health and dignity and creates a legal basis for the </w:t>
      </w:r>
      <w:r w:rsidR="00A57A04" w:rsidRPr="00C93410">
        <w:rPr>
          <w:rFonts w:ascii="Times New Roman" w:hAnsi="Times New Roman" w:cs="Times New Roman"/>
          <w:sz w:val="28"/>
          <w:szCs w:val="28"/>
          <w:lang w:val="en-GB"/>
        </w:rPr>
        <w:t>realisation</w:t>
      </w:r>
      <w:r w:rsidRPr="00C93410">
        <w:rPr>
          <w:rFonts w:ascii="Times New Roman" w:hAnsi="Times New Roman" w:cs="Times New Roman"/>
          <w:sz w:val="28"/>
          <w:szCs w:val="28"/>
          <w:lang w:val="en-GB"/>
        </w:rPr>
        <w:t xml:space="preserve"> by a person in need of social protection of his</w:t>
      </w:r>
      <w:r w:rsidR="00F76BB8" w:rsidRPr="00C93410">
        <w:rPr>
          <w:rFonts w:ascii="Times New Roman" w:hAnsi="Times New Roman" w:cs="Times New Roman"/>
          <w:sz w:val="28"/>
          <w:szCs w:val="28"/>
          <w:lang w:val="en-GB"/>
        </w:rPr>
        <w:t>/her</w:t>
      </w:r>
      <w:r w:rsidRPr="00C93410">
        <w:rPr>
          <w:rFonts w:ascii="Times New Roman" w:hAnsi="Times New Roman" w:cs="Times New Roman"/>
          <w:sz w:val="28"/>
          <w:szCs w:val="28"/>
          <w:lang w:val="en-GB"/>
        </w:rPr>
        <w:t xml:space="preserve"> fundamental rights and freedoms.</w:t>
      </w:r>
    </w:p>
    <w:p w:rsidR="004B26F0" w:rsidRPr="00C93410" w:rsidRDefault="00F76BB8" w:rsidP="00DB6EF4">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lastRenderedPageBreak/>
        <w:t xml:space="preserve">The right to social protection, guaranteed by Article 46 of the Basic Law, is based on the fact that the amounts of pensions, other types of social payments and assistance, which is the main source of livelihood, </w:t>
      </w:r>
      <w:r w:rsidR="00401DB4" w:rsidRPr="00C93410">
        <w:rPr>
          <w:rFonts w:ascii="Times New Roman" w:hAnsi="Times New Roman" w:cs="Times New Roman"/>
          <w:sz w:val="28"/>
          <w:szCs w:val="28"/>
          <w:lang w:val="en-GB"/>
        </w:rPr>
        <w:t>shall</w:t>
      </w:r>
      <w:r w:rsidRPr="00C93410">
        <w:rPr>
          <w:rFonts w:ascii="Times New Roman" w:hAnsi="Times New Roman" w:cs="Times New Roman"/>
          <w:sz w:val="28"/>
          <w:szCs w:val="28"/>
          <w:lang w:val="en-GB"/>
        </w:rPr>
        <w:t xml:space="preserve"> be determined taking into account human needs, human dignity and other constitutional values, as well as on the fact that in the presence of economic and other prerequisites, the amounts of pensions, other types of social benefits and assistance should be timely indexed and/or recalculated.</w:t>
      </w:r>
    </w:p>
    <w:p w:rsidR="00F76BB8" w:rsidRPr="00C93410" w:rsidRDefault="00394176" w:rsidP="00DB6EF4">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 xml:space="preserve">The </w:t>
      </w:r>
      <w:r w:rsidR="009A1891" w:rsidRPr="00C93410">
        <w:rPr>
          <w:rFonts w:ascii="Times New Roman" w:hAnsi="Times New Roman" w:cs="Times New Roman"/>
          <w:sz w:val="28"/>
          <w:szCs w:val="28"/>
          <w:lang w:val="en-GB"/>
        </w:rPr>
        <w:t>substantial</w:t>
      </w:r>
      <w:r w:rsidR="00EE26F7" w:rsidRPr="00C93410">
        <w:rPr>
          <w:rFonts w:ascii="Times New Roman" w:hAnsi="Times New Roman" w:cs="Times New Roman"/>
          <w:sz w:val="28"/>
          <w:szCs w:val="28"/>
          <w:lang w:val="en-GB"/>
        </w:rPr>
        <w:t xml:space="preserve"> </w:t>
      </w:r>
      <w:r w:rsidRPr="00C93410">
        <w:rPr>
          <w:rFonts w:ascii="Times New Roman" w:hAnsi="Times New Roman" w:cs="Times New Roman"/>
          <w:sz w:val="28"/>
          <w:szCs w:val="28"/>
          <w:lang w:val="en-GB"/>
        </w:rPr>
        <w:t>analysis of the provisions of Articles 3, 8, 24, 46</w:t>
      </w:r>
      <w:r w:rsidR="00EF7D16">
        <w:rPr>
          <w:rFonts w:ascii="Times New Roman" w:hAnsi="Times New Roman" w:cs="Times New Roman"/>
          <w:sz w:val="28"/>
          <w:szCs w:val="28"/>
          <w:lang w:val="en-GB"/>
        </w:rPr>
        <w:t xml:space="preserve"> and</w:t>
      </w:r>
      <w:r w:rsidRPr="00C93410">
        <w:rPr>
          <w:rFonts w:ascii="Times New Roman" w:hAnsi="Times New Roman" w:cs="Times New Roman"/>
          <w:sz w:val="28"/>
          <w:szCs w:val="28"/>
          <w:lang w:val="en-GB"/>
        </w:rPr>
        <w:t xml:space="preserve"> 92 of the Basic Law provides grounds for the conclusion that the legal mechanism of indexation and recalculation of pensions, other types of social benefits and assistance is one of the constitutional guarantees of the effectiveness of the right to social protection. Therefore, in order to implement the Constitution of Ukraine, the Verkhovna Rada of Ukraine shall ensure the development, specification and detailing of a number of constitutional norms and principles, defining in laws the grounds, procedure, conditions for indexation and recalculation of pensions, other types of social benefits and assistance for all groups of pensioners and recipients of such benefits and assistance.</w:t>
      </w:r>
    </w:p>
    <w:p w:rsidR="005D01FE" w:rsidRPr="00C93410" w:rsidRDefault="00EE26F7" w:rsidP="00DB6EF4">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 xml:space="preserve">Subparagraph 1 of paragraph 2 of Section XI “Final and Transitional Provisions”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 xml:space="preserve">Law No. 889 in the </w:t>
      </w:r>
      <w:r w:rsidR="009A1891" w:rsidRPr="00C93410">
        <w:rPr>
          <w:rFonts w:ascii="Times New Roman" w:hAnsi="Times New Roman" w:cs="Times New Roman"/>
          <w:sz w:val="28"/>
          <w:szCs w:val="28"/>
          <w:lang w:val="en-GB"/>
        </w:rPr>
        <w:t>substantial correlation</w:t>
      </w:r>
      <w:r w:rsidRPr="00C93410">
        <w:rPr>
          <w:rFonts w:ascii="Times New Roman" w:hAnsi="Times New Roman" w:cs="Times New Roman"/>
          <w:sz w:val="28"/>
          <w:szCs w:val="28"/>
          <w:lang w:val="en-GB"/>
        </w:rPr>
        <w:t xml:space="preserve"> with paragraphs 10</w:t>
      </w:r>
      <w:r w:rsidR="00EF7D16">
        <w:rPr>
          <w:rFonts w:ascii="Times New Roman" w:hAnsi="Times New Roman" w:cs="Times New Roman"/>
          <w:sz w:val="28"/>
          <w:szCs w:val="28"/>
          <w:lang w:val="en-GB"/>
        </w:rPr>
        <w:t xml:space="preserve"> and</w:t>
      </w:r>
      <w:r w:rsidRPr="00C93410">
        <w:rPr>
          <w:rFonts w:ascii="Times New Roman" w:hAnsi="Times New Roman" w:cs="Times New Roman"/>
          <w:sz w:val="28"/>
          <w:szCs w:val="28"/>
          <w:lang w:val="en-GB"/>
        </w:rPr>
        <w:t xml:space="preserve"> 12 of the same section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Law No. 889 is the only legal basis for the legal mechanism of granting the right to a</w:t>
      </w:r>
      <w:r w:rsidR="00EF7D16">
        <w:rPr>
          <w:rFonts w:ascii="Times New Roman" w:hAnsi="Times New Roman" w:cs="Times New Roman"/>
          <w:sz w:val="28"/>
          <w:szCs w:val="28"/>
          <w:lang w:val="en-GB"/>
        </w:rPr>
        <w:t>ccrual</w:t>
      </w:r>
      <w:r w:rsidRPr="00C93410">
        <w:rPr>
          <w:rFonts w:ascii="Times New Roman" w:hAnsi="Times New Roman" w:cs="Times New Roman"/>
          <w:sz w:val="28"/>
          <w:szCs w:val="28"/>
          <w:lang w:val="en-GB"/>
        </w:rPr>
        <w:t xml:space="preserve"> of pen</w:t>
      </w:r>
      <w:r w:rsidR="00662843" w:rsidRPr="00C93410">
        <w:rPr>
          <w:rFonts w:ascii="Times New Roman" w:hAnsi="Times New Roman" w:cs="Times New Roman"/>
          <w:sz w:val="28"/>
          <w:szCs w:val="28"/>
          <w:lang w:val="en-GB"/>
        </w:rPr>
        <w:t xml:space="preserve">sions on the basis of Article </w:t>
      </w:r>
      <w:r w:rsidR="00662843" w:rsidRPr="00695734">
        <w:rPr>
          <w:rFonts w:ascii="Times New Roman" w:hAnsi="Times New Roman" w:cs="Times New Roman"/>
          <w:sz w:val="28"/>
          <w:szCs w:val="28"/>
          <w:lang w:val="en-GB"/>
        </w:rPr>
        <w:t>3</w:t>
      </w:r>
      <w:r w:rsidRPr="00695734">
        <w:rPr>
          <w:rFonts w:ascii="Times New Roman" w:hAnsi="Times New Roman" w:cs="Times New Roman"/>
          <w:sz w:val="28"/>
          <w:szCs w:val="28"/>
          <w:lang w:val="en-GB"/>
        </w:rPr>
        <w:t>7</w:t>
      </w:r>
      <w:r w:rsidRPr="00C93410">
        <w:rPr>
          <w:rFonts w:ascii="Times New Roman" w:hAnsi="Times New Roman" w:cs="Times New Roman"/>
          <w:sz w:val="28"/>
          <w:szCs w:val="28"/>
          <w:lang w:val="en-GB"/>
        </w:rPr>
        <w:t xml:space="preserve">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 xml:space="preserve">Law No. 3723. Due to the fact that there is no reference to Article 371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Law No.</w:t>
      </w:r>
      <w:r w:rsidR="006102BF" w:rsidRPr="00C93410">
        <w:rPr>
          <w:rFonts w:ascii="Times New Roman" w:hAnsi="Times New Roman" w:cs="Times New Roman"/>
          <w:sz w:val="28"/>
          <w:szCs w:val="28"/>
          <w:lang w:val="en-GB"/>
        </w:rPr>
        <w:t> </w:t>
      </w:r>
      <w:r w:rsidRPr="00C93410">
        <w:rPr>
          <w:rFonts w:ascii="Times New Roman" w:hAnsi="Times New Roman" w:cs="Times New Roman"/>
          <w:sz w:val="28"/>
          <w:szCs w:val="28"/>
          <w:lang w:val="en-GB"/>
        </w:rPr>
        <w:t xml:space="preserve">3723 in </w:t>
      </w:r>
      <w:r w:rsidR="006102BF" w:rsidRPr="00C93410">
        <w:rPr>
          <w:rFonts w:ascii="Times New Roman" w:hAnsi="Times New Roman" w:cs="Times New Roman"/>
          <w:sz w:val="28"/>
          <w:szCs w:val="28"/>
          <w:lang w:val="en-GB"/>
        </w:rPr>
        <w:t>subparagraph</w:t>
      </w:r>
      <w:r w:rsidRPr="00C93410">
        <w:rPr>
          <w:rFonts w:ascii="Times New Roman" w:hAnsi="Times New Roman" w:cs="Times New Roman"/>
          <w:sz w:val="28"/>
          <w:szCs w:val="28"/>
          <w:lang w:val="en-GB"/>
        </w:rPr>
        <w:t xml:space="preserve"> 1</w:t>
      </w:r>
      <w:r w:rsidR="006102BF" w:rsidRPr="00C93410">
        <w:rPr>
          <w:rFonts w:ascii="Times New Roman" w:hAnsi="Times New Roman" w:cs="Times New Roman"/>
          <w:sz w:val="28"/>
          <w:szCs w:val="28"/>
          <w:lang w:val="en-GB"/>
        </w:rPr>
        <w:t xml:space="preserve"> of paragraph</w:t>
      </w:r>
      <w:r w:rsidRPr="00C93410">
        <w:rPr>
          <w:rFonts w:ascii="Times New Roman" w:hAnsi="Times New Roman" w:cs="Times New Roman"/>
          <w:sz w:val="28"/>
          <w:szCs w:val="28"/>
          <w:lang w:val="en-GB"/>
        </w:rPr>
        <w:t xml:space="preserve"> 2 of </w:t>
      </w:r>
      <w:r w:rsidR="006102BF" w:rsidRPr="00C93410">
        <w:rPr>
          <w:rFonts w:ascii="Times New Roman" w:hAnsi="Times New Roman" w:cs="Times New Roman"/>
          <w:sz w:val="28"/>
          <w:szCs w:val="28"/>
          <w:lang w:val="en-GB"/>
        </w:rPr>
        <w:t>Section</w:t>
      </w:r>
      <w:r w:rsidRPr="00C93410">
        <w:rPr>
          <w:rFonts w:ascii="Times New Roman" w:hAnsi="Times New Roman" w:cs="Times New Roman"/>
          <w:sz w:val="28"/>
          <w:szCs w:val="28"/>
          <w:lang w:val="en-GB"/>
        </w:rPr>
        <w:t xml:space="preserve"> XI </w:t>
      </w:r>
      <w:r w:rsidR="006102BF" w:rsidRPr="00C93410">
        <w:rPr>
          <w:rFonts w:ascii="Times New Roman" w:hAnsi="Times New Roman" w:cs="Times New Roman"/>
          <w:sz w:val="28"/>
          <w:szCs w:val="28"/>
          <w:lang w:val="en-GB"/>
        </w:rPr>
        <w:t>“</w:t>
      </w:r>
      <w:r w:rsidRPr="00C93410">
        <w:rPr>
          <w:rFonts w:ascii="Times New Roman" w:hAnsi="Times New Roman" w:cs="Times New Roman"/>
          <w:sz w:val="28"/>
          <w:szCs w:val="28"/>
          <w:lang w:val="en-GB"/>
        </w:rPr>
        <w:t>Final and Transitional Provisions</w:t>
      </w:r>
      <w:r w:rsidR="006102BF" w:rsidRPr="00C93410">
        <w:rPr>
          <w:rFonts w:ascii="Times New Roman" w:hAnsi="Times New Roman" w:cs="Times New Roman"/>
          <w:sz w:val="28"/>
          <w:szCs w:val="28"/>
          <w:lang w:val="en-GB"/>
        </w:rPr>
        <w:t>”</w:t>
      </w:r>
      <w:r w:rsidRPr="00C93410">
        <w:rPr>
          <w:rFonts w:ascii="Times New Roman" w:hAnsi="Times New Roman" w:cs="Times New Roman"/>
          <w:sz w:val="28"/>
          <w:szCs w:val="28"/>
          <w:lang w:val="en-GB"/>
        </w:rPr>
        <w:t xml:space="preserve">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Law No.</w:t>
      </w:r>
      <w:r w:rsidR="006102BF" w:rsidRPr="00C93410">
        <w:rPr>
          <w:rFonts w:ascii="Times New Roman" w:hAnsi="Times New Roman" w:cs="Times New Roman"/>
          <w:sz w:val="28"/>
          <w:szCs w:val="28"/>
          <w:lang w:val="en-GB"/>
        </w:rPr>
        <w:t> </w:t>
      </w:r>
      <w:r w:rsidRPr="00C93410">
        <w:rPr>
          <w:rFonts w:ascii="Times New Roman" w:hAnsi="Times New Roman" w:cs="Times New Roman"/>
          <w:sz w:val="28"/>
          <w:szCs w:val="28"/>
          <w:lang w:val="en-GB"/>
        </w:rPr>
        <w:t xml:space="preserve">889, </w:t>
      </w:r>
      <w:r w:rsidR="006102BF" w:rsidRPr="00C93410">
        <w:rPr>
          <w:rFonts w:ascii="Times New Roman" w:hAnsi="Times New Roman" w:cs="Times New Roman"/>
          <w:sz w:val="28"/>
          <w:szCs w:val="28"/>
          <w:lang w:val="en-GB"/>
        </w:rPr>
        <w:t>thus, it is impossible to recalculate the amounts of pensions, that is, to update them</w:t>
      </w:r>
      <w:r w:rsidR="001903B8" w:rsidRPr="00C93410">
        <w:rPr>
          <w:rFonts w:ascii="Times New Roman" w:hAnsi="Times New Roman" w:cs="Times New Roman"/>
          <w:sz w:val="28"/>
          <w:szCs w:val="28"/>
          <w:lang w:val="en-GB"/>
        </w:rPr>
        <w:t>,</w:t>
      </w:r>
      <w:r w:rsidR="006102BF" w:rsidRPr="00C93410">
        <w:rPr>
          <w:rFonts w:ascii="Times New Roman" w:hAnsi="Times New Roman" w:cs="Times New Roman"/>
          <w:sz w:val="28"/>
          <w:szCs w:val="28"/>
          <w:lang w:val="en-GB"/>
        </w:rPr>
        <w:t xml:space="preserve"> for </w:t>
      </w:r>
      <w:r w:rsidRPr="00C93410">
        <w:rPr>
          <w:rFonts w:ascii="Times New Roman" w:hAnsi="Times New Roman" w:cs="Times New Roman"/>
          <w:sz w:val="28"/>
          <w:szCs w:val="28"/>
          <w:lang w:val="en-GB"/>
        </w:rPr>
        <w:t xml:space="preserve">the subject of the right to constitutional complaint and other persons </w:t>
      </w:r>
      <w:r w:rsidR="001903B8" w:rsidRPr="00C93410">
        <w:rPr>
          <w:rFonts w:ascii="Times New Roman" w:hAnsi="Times New Roman" w:cs="Times New Roman"/>
          <w:sz w:val="28"/>
          <w:szCs w:val="28"/>
          <w:lang w:val="en-GB"/>
        </w:rPr>
        <w:t xml:space="preserve">who are </w:t>
      </w:r>
      <w:r w:rsidRPr="00C93410">
        <w:rPr>
          <w:rFonts w:ascii="Times New Roman" w:hAnsi="Times New Roman" w:cs="Times New Roman"/>
          <w:sz w:val="28"/>
          <w:szCs w:val="28"/>
          <w:lang w:val="en-GB"/>
        </w:rPr>
        <w:t xml:space="preserve">granted the right on the </w:t>
      </w:r>
      <w:r w:rsidR="006102BF" w:rsidRPr="00C93410">
        <w:rPr>
          <w:rFonts w:ascii="Times New Roman" w:hAnsi="Times New Roman" w:cs="Times New Roman"/>
          <w:sz w:val="28"/>
          <w:szCs w:val="28"/>
          <w:lang w:val="en-GB"/>
        </w:rPr>
        <w:t>a</w:t>
      </w:r>
      <w:r w:rsidR="00EF7D16">
        <w:rPr>
          <w:rFonts w:ascii="Times New Roman" w:hAnsi="Times New Roman" w:cs="Times New Roman"/>
          <w:sz w:val="28"/>
          <w:szCs w:val="28"/>
          <w:lang w:val="en-GB"/>
        </w:rPr>
        <w:t>ccrual</w:t>
      </w:r>
      <w:r w:rsidRPr="00C93410">
        <w:rPr>
          <w:rFonts w:ascii="Times New Roman" w:hAnsi="Times New Roman" w:cs="Times New Roman"/>
          <w:sz w:val="28"/>
          <w:szCs w:val="28"/>
          <w:lang w:val="en-GB"/>
        </w:rPr>
        <w:t xml:space="preserve"> of a pension on the basis of Article 37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Law No. 3723.</w:t>
      </w:r>
    </w:p>
    <w:p w:rsidR="00394176" w:rsidRPr="00C93410" w:rsidRDefault="001903B8" w:rsidP="00DB6EF4">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Therefore, the pensions of public servants a</w:t>
      </w:r>
      <w:r w:rsidR="00EF7D16">
        <w:rPr>
          <w:rFonts w:ascii="Times New Roman" w:hAnsi="Times New Roman" w:cs="Times New Roman"/>
          <w:sz w:val="28"/>
          <w:szCs w:val="28"/>
          <w:lang w:val="en-GB"/>
        </w:rPr>
        <w:t>ccrued</w:t>
      </w:r>
      <w:r w:rsidRPr="00C93410">
        <w:rPr>
          <w:rFonts w:ascii="Times New Roman" w:hAnsi="Times New Roman" w:cs="Times New Roman"/>
          <w:sz w:val="28"/>
          <w:szCs w:val="28"/>
          <w:lang w:val="en-GB"/>
        </w:rPr>
        <w:t xml:space="preserve"> on the basis of Article 37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Law No. 3723, in contrast to the pensions a</w:t>
      </w:r>
      <w:r w:rsidR="00EF7D16">
        <w:rPr>
          <w:rFonts w:ascii="Times New Roman" w:hAnsi="Times New Roman" w:cs="Times New Roman"/>
          <w:sz w:val="28"/>
          <w:szCs w:val="28"/>
          <w:lang w:val="en-GB"/>
        </w:rPr>
        <w:t xml:space="preserve">ccrued </w:t>
      </w:r>
      <w:r w:rsidRPr="00C93410">
        <w:rPr>
          <w:rFonts w:ascii="Times New Roman" w:hAnsi="Times New Roman" w:cs="Times New Roman"/>
          <w:sz w:val="28"/>
          <w:szCs w:val="28"/>
          <w:lang w:val="en-GB"/>
        </w:rPr>
        <w:t xml:space="preserve"> on the basis of other normative acts, are not subject to recalculation.</w:t>
      </w:r>
    </w:p>
    <w:p w:rsidR="00EE26F7" w:rsidRPr="00C93410" w:rsidRDefault="00DF02C8" w:rsidP="00781AEA">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 xml:space="preserve">The Constitutional Court also takes into account the fact that due to the application of subparagraph 1 of paragraph 2 of Section XI “Final and Transitional Provisions”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Law No. 889, there is a difference in the amount of pensions of public servants a</w:t>
      </w:r>
      <w:r w:rsidR="00EF7D16">
        <w:rPr>
          <w:rFonts w:ascii="Times New Roman" w:hAnsi="Times New Roman" w:cs="Times New Roman"/>
          <w:sz w:val="28"/>
          <w:szCs w:val="28"/>
          <w:lang w:val="en-GB"/>
        </w:rPr>
        <w:t xml:space="preserve">ccrued </w:t>
      </w:r>
      <w:r w:rsidRPr="00C93410">
        <w:rPr>
          <w:rFonts w:ascii="Times New Roman" w:hAnsi="Times New Roman" w:cs="Times New Roman"/>
          <w:sz w:val="28"/>
          <w:szCs w:val="28"/>
          <w:lang w:val="en-GB"/>
        </w:rPr>
        <w:t xml:space="preserve"> on the basis of Article 37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Law No. 3723, depending on the time of pension a</w:t>
      </w:r>
      <w:r w:rsidR="00D579A8">
        <w:rPr>
          <w:rFonts w:ascii="Times New Roman" w:hAnsi="Times New Roman" w:cs="Times New Roman"/>
          <w:sz w:val="28"/>
          <w:szCs w:val="28"/>
          <w:lang w:val="en-GB"/>
        </w:rPr>
        <w:t>ccrual</w:t>
      </w:r>
      <w:r w:rsidRPr="00C93410">
        <w:rPr>
          <w:rFonts w:ascii="Times New Roman" w:hAnsi="Times New Roman" w:cs="Times New Roman"/>
          <w:sz w:val="28"/>
          <w:szCs w:val="28"/>
          <w:lang w:val="en-GB"/>
        </w:rPr>
        <w:t>.</w:t>
      </w:r>
    </w:p>
    <w:p w:rsidR="001903B8" w:rsidRPr="00C93410" w:rsidRDefault="00BE04C1" w:rsidP="00781AEA">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The current state of the legislative regulation on the recalculation of the pensions of the subject of the right to constitutional complaint and other persons who are granted the rig</w:t>
      </w:r>
      <w:bookmarkStart w:id="0" w:name="_GoBack"/>
      <w:bookmarkEnd w:id="0"/>
      <w:r w:rsidRPr="00C93410">
        <w:rPr>
          <w:rFonts w:ascii="Times New Roman" w:hAnsi="Times New Roman" w:cs="Times New Roman"/>
          <w:sz w:val="28"/>
          <w:szCs w:val="28"/>
          <w:lang w:val="en-GB"/>
        </w:rPr>
        <w:t>ht to the a</w:t>
      </w:r>
      <w:r w:rsidR="00EF7D16">
        <w:rPr>
          <w:rFonts w:ascii="Times New Roman" w:hAnsi="Times New Roman" w:cs="Times New Roman"/>
          <w:sz w:val="28"/>
          <w:szCs w:val="28"/>
          <w:lang w:val="en-GB"/>
        </w:rPr>
        <w:t>ccrual</w:t>
      </w:r>
      <w:r w:rsidRPr="00C93410">
        <w:rPr>
          <w:rFonts w:ascii="Times New Roman" w:hAnsi="Times New Roman" w:cs="Times New Roman"/>
          <w:sz w:val="28"/>
          <w:szCs w:val="28"/>
          <w:lang w:val="en-GB"/>
        </w:rPr>
        <w:t xml:space="preserve"> of a pension on the basis of Article 37 of </w:t>
      </w:r>
      <w:r w:rsidR="00EF7D16">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Law No. 3723 is not an ordinary legislative gap (lacuna), but a legislative omission</w:t>
      </w:r>
      <w:r w:rsidR="00EE5D20" w:rsidRPr="00C93410">
        <w:rPr>
          <w:rFonts w:ascii="Times New Roman" w:hAnsi="Times New Roman" w:cs="Times New Roman"/>
          <w:sz w:val="28"/>
          <w:szCs w:val="28"/>
          <w:lang w:val="en-GB"/>
        </w:rPr>
        <w:t>,</w:t>
      </w:r>
      <w:r w:rsidRPr="00C93410">
        <w:rPr>
          <w:rFonts w:ascii="Times New Roman" w:hAnsi="Times New Roman" w:cs="Times New Roman"/>
          <w:sz w:val="28"/>
          <w:szCs w:val="28"/>
          <w:lang w:val="en-GB"/>
        </w:rPr>
        <w:t xml:space="preserve"> the </w:t>
      </w:r>
      <w:r w:rsidR="00EE5D20" w:rsidRPr="00C93410">
        <w:rPr>
          <w:rFonts w:ascii="Times New Roman" w:hAnsi="Times New Roman" w:cs="Times New Roman"/>
          <w:sz w:val="28"/>
          <w:szCs w:val="28"/>
          <w:lang w:val="en-GB"/>
        </w:rPr>
        <w:t xml:space="preserve">existence </w:t>
      </w:r>
      <w:r w:rsidRPr="00C93410">
        <w:rPr>
          <w:rFonts w:ascii="Times New Roman" w:hAnsi="Times New Roman" w:cs="Times New Roman"/>
          <w:sz w:val="28"/>
          <w:szCs w:val="28"/>
          <w:lang w:val="en-GB"/>
        </w:rPr>
        <w:t>of which is a violation of the Constitution of Ukraine.</w:t>
      </w:r>
      <w:r w:rsidR="004E6FDA" w:rsidRPr="00C93410">
        <w:rPr>
          <w:lang w:val="en-GB"/>
        </w:rPr>
        <w:t xml:space="preserve"> </w:t>
      </w:r>
      <w:r w:rsidR="004E6FDA" w:rsidRPr="00C93410">
        <w:rPr>
          <w:rFonts w:ascii="Times New Roman" w:hAnsi="Times New Roman" w:cs="Times New Roman"/>
          <w:sz w:val="28"/>
          <w:szCs w:val="28"/>
          <w:lang w:val="en-GB"/>
        </w:rPr>
        <w:t>In order to develop, specify and detail the provisions of Articles 3, 8, 24</w:t>
      </w:r>
      <w:r w:rsidR="00D579A8">
        <w:rPr>
          <w:rFonts w:ascii="Times New Roman" w:hAnsi="Times New Roman" w:cs="Times New Roman"/>
          <w:sz w:val="28"/>
          <w:szCs w:val="28"/>
          <w:lang w:val="en-GB"/>
        </w:rPr>
        <w:t xml:space="preserve"> and</w:t>
      </w:r>
      <w:r w:rsidR="004E6FDA" w:rsidRPr="00C93410">
        <w:rPr>
          <w:rFonts w:ascii="Times New Roman" w:hAnsi="Times New Roman" w:cs="Times New Roman"/>
          <w:sz w:val="28"/>
          <w:szCs w:val="28"/>
          <w:lang w:val="en-GB"/>
        </w:rPr>
        <w:t xml:space="preserve"> 46 of the Basic Law, the recalculation of pension amounts shall be regulated in a law adopted by the Verkhovna Rada.</w:t>
      </w:r>
    </w:p>
    <w:p w:rsidR="007D5674" w:rsidRPr="00C93410" w:rsidRDefault="004E6FDA" w:rsidP="001579EF">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lastRenderedPageBreak/>
        <w:t>Failure by the state to provide a legislative basis for functioning of an effective legal mechanism for calculating the amounts of pensions, other types of social benefits and assistance, which is the main source of livelihood, in particular in view of the legislative omission in the normalisation of social relations, proves the illusory nature of the constitutional guarantees of the right to social protection and violations of a number of constitutional norms and principles.</w:t>
      </w:r>
    </w:p>
    <w:p w:rsidR="004E6FDA" w:rsidRPr="00C93410" w:rsidRDefault="004E6FDA" w:rsidP="004111B3">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The legislative omission identified in sub</w:t>
      </w:r>
      <w:r w:rsidR="00763334" w:rsidRPr="00C93410">
        <w:rPr>
          <w:rFonts w:ascii="Times New Roman" w:hAnsi="Times New Roman" w:cs="Times New Roman"/>
          <w:sz w:val="28"/>
          <w:szCs w:val="28"/>
          <w:lang w:val="en-GB"/>
        </w:rPr>
        <w:t>paragraph</w:t>
      </w:r>
      <w:r w:rsidRPr="00C93410">
        <w:rPr>
          <w:rFonts w:ascii="Times New Roman" w:hAnsi="Times New Roman" w:cs="Times New Roman"/>
          <w:sz w:val="28"/>
          <w:szCs w:val="28"/>
          <w:lang w:val="en-GB"/>
        </w:rPr>
        <w:t xml:space="preserve"> 1</w:t>
      </w:r>
      <w:r w:rsidR="00763334" w:rsidRPr="00C93410">
        <w:rPr>
          <w:rFonts w:ascii="Times New Roman" w:hAnsi="Times New Roman" w:cs="Times New Roman"/>
          <w:sz w:val="28"/>
          <w:szCs w:val="28"/>
          <w:lang w:val="en-GB"/>
        </w:rPr>
        <w:t xml:space="preserve"> of</w:t>
      </w:r>
      <w:r w:rsidRPr="00C93410">
        <w:rPr>
          <w:rFonts w:ascii="Times New Roman" w:hAnsi="Times New Roman" w:cs="Times New Roman"/>
          <w:sz w:val="28"/>
          <w:szCs w:val="28"/>
          <w:lang w:val="en-GB"/>
        </w:rPr>
        <w:t xml:space="preserve"> paragraph 2 of </w:t>
      </w:r>
      <w:r w:rsidR="00763334" w:rsidRPr="00C93410">
        <w:rPr>
          <w:rFonts w:ascii="Times New Roman" w:hAnsi="Times New Roman" w:cs="Times New Roman"/>
          <w:sz w:val="28"/>
          <w:szCs w:val="28"/>
          <w:lang w:val="en-GB"/>
        </w:rPr>
        <w:t>Section</w:t>
      </w:r>
      <w:r w:rsidRPr="00C93410">
        <w:rPr>
          <w:rFonts w:ascii="Times New Roman" w:hAnsi="Times New Roman" w:cs="Times New Roman"/>
          <w:sz w:val="28"/>
          <w:szCs w:val="28"/>
          <w:lang w:val="en-GB"/>
        </w:rPr>
        <w:t xml:space="preserve"> XI </w:t>
      </w:r>
      <w:r w:rsidR="00763334" w:rsidRPr="00C93410">
        <w:rPr>
          <w:rFonts w:ascii="Times New Roman" w:hAnsi="Times New Roman" w:cs="Times New Roman"/>
          <w:sz w:val="28"/>
          <w:szCs w:val="28"/>
          <w:lang w:val="en-GB"/>
        </w:rPr>
        <w:t>“</w:t>
      </w:r>
      <w:r w:rsidRPr="00C93410">
        <w:rPr>
          <w:rFonts w:ascii="Times New Roman" w:hAnsi="Times New Roman" w:cs="Times New Roman"/>
          <w:sz w:val="28"/>
          <w:szCs w:val="28"/>
          <w:lang w:val="en-GB"/>
        </w:rPr>
        <w:t>Final and Transitional Provisions</w:t>
      </w:r>
      <w:r w:rsidR="00763334" w:rsidRPr="00C93410">
        <w:rPr>
          <w:rFonts w:ascii="Times New Roman" w:hAnsi="Times New Roman" w:cs="Times New Roman"/>
          <w:sz w:val="28"/>
          <w:szCs w:val="28"/>
          <w:lang w:val="en-GB"/>
        </w:rPr>
        <w:t>”</w:t>
      </w:r>
      <w:r w:rsidRPr="00C93410">
        <w:rPr>
          <w:rFonts w:ascii="Times New Roman" w:hAnsi="Times New Roman" w:cs="Times New Roman"/>
          <w:sz w:val="28"/>
          <w:szCs w:val="28"/>
          <w:lang w:val="en-GB"/>
        </w:rPr>
        <w:t xml:space="preserve"> of </w:t>
      </w:r>
      <w:r w:rsidR="00D579A8">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Law No.</w:t>
      </w:r>
      <w:r w:rsidR="00763334" w:rsidRPr="00C93410">
        <w:rPr>
          <w:rFonts w:ascii="Times New Roman" w:hAnsi="Times New Roman" w:cs="Times New Roman"/>
          <w:sz w:val="28"/>
          <w:szCs w:val="28"/>
          <w:lang w:val="en-GB"/>
        </w:rPr>
        <w:t> </w:t>
      </w:r>
      <w:r w:rsidRPr="00C93410">
        <w:rPr>
          <w:rFonts w:ascii="Times New Roman" w:hAnsi="Times New Roman" w:cs="Times New Roman"/>
          <w:sz w:val="28"/>
          <w:szCs w:val="28"/>
          <w:lang w:val="en-GB"/>
        </w:rPr>
        <w:t xml:space="preserve">889 indicates the failure of the state to </w:t>
      </w:r>
      <w:r w:rsidR="000D6E18" w:rsidRPr="00C93410">
        <w:rPr>
          <w:rFonts w:ascii="Times New Roman" w:hAnsi="Times New Roman" w:cs="Times New Roman"/>
          <w:sz w:val="28"/>
          <w:szCs w:val="28"/>
          <w:lang w:val="en-GB"/>
        </w:rPr>
        <w:t>fulfil</w:t>
      </w:r>
      <w:r w:rsidRPr="00C93410">
        <w:rPr>
          <w:rFonts w:ascii="Times New Roman" w:hAnsi="Times New Roman" w:cs="Times New Roman"/>
          <w:sz w:val="28"/>
          <w:szCs w:val="28"/>
          <w:lang w:val="en-GB"/>
        </w:rPr>
        <w:t xml:space="preserve"> its positive obligations to regulate a certain segment of pension relations in the law, is discriminatory against the subject of the right to constitutional complaint and other persons, who are granted the right to a pension on the</w:t>
      </w:r>
      <w:r w:rsidR="00BA3F7E" w:rsidRPr="00C93410">
        <w:rPr>
          <w:rFonts w:ascii="Times New Roman" w:hAnsi="Times New Roman" w:cs="Times New Roman"/>
          <w:sz w:val="28"/>
          <w:szCs w:val="28"/>
          <w:lang w:val="en-GB"/>
        </w:rPr>
        <w:t xml:space="preserve"> basis of Article 37 of </w:t>
      </w:r>
      <w:r w:rsidR="00D579A8">
        <w:rPr>
          <w:rFonts w:ascii="Times New Roman" w:hAnsi="Times New Roman" w:cs="Times New Roman"/>
          <w:sz w:val="28"/>
          <w:szCs w:val="28"/>
          <w:lang w:val="en-GB"/>
        </w:rPr>
        <w:t xml:space="preserve">the </w:t>
      </w:r>
      <w:r w:rsidR="00BA3F7E" w:rsidRPr="00C93410">
        <w:rPr>
          <w:rFonts w:ascii="Times New Roman" w:hAnsi="Times New Roman" w:cs="Times New Roman"/>
          <w:sz w:val="28"/>
          <w:szCs w:val="28"/>
          <w:lang w:val="en-GB"/>
        </w:rPr>
        <w:t>Law No. </w:t>
      </w:r>
      <w:r w:rsidRPr="00C93410">
        <w:rPr>
          <w:rFonts w:ascii="Times New Roman" w:hAnsi="Times New Roman" w:cs="Times New Roman"/>
          <w:sz w:val="28"/>
          <w:szCs w:val="28"/>
          <w:lang w:val="en-GB"/>
        </w:rPr>
        <w:t>3723, does not ensure compliance with legal equality as one of the components of the principle of the rule of law and violates the constitutional guarantees of the right to social protection.</w:t>
      </w:r>
    </w:p>
    <w:p w:rsidR="004E6FDA" w:rsidRPr="00C93410" w:rsidRDefault="00763334" w:rsidP="004111B3">
      <w:pPr>
        <w:pStyle w:val="HTML"/>
        <w:ind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 xml:space="preserve">To maintain the balance of private interests of the subject of the right to constitutional complaint and other persons who are granted the right to </w:t>
      </w:r>
      <w:r w:rsidR="00BA3F7E" w:rsidRPr="00C93410">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a</w:t>
      </w:r>
      <w:r w:rsidR="00D579A8">
        <w:rPr>
          <w:rFonts w:ascii="Times New Roman" w:hAnsi="Times New Roman" w:cs="Times New Roman"/>
          <w:sz w:val="28"/>
          <w:szCs w:val="28"/>
          <w:lang w:val="en-GB"/>
        </w:rPr>
        <w:t>ccrual</w:t>
      </w:r>
      <w:r w:rsidR="00BA3F7E" w:rsidRPr="00C93410">
        <w:rPr>
          <w:rFonts w:ascii="Times New Roman" w:hAnsi="Times New Roman" w:cs="Times New Roman"/>
          <w:sz w:val="28"/>
          <w:szCs w:val="28"/>
          <w:lang w:val="en-GB"/>
        </w:rPr>
        <w:t xml:space="preserve"> of</w:t>
      </w:r>
      <w:r w:rsidRPr="00C93410">
        <w:rPr>
          <w:rFonts w:ascii="Times New Roman" w:hAnsi="Times New Roman" w:cs="Times New Roman"/>
          <w:sz w:val="28"/>
          <w:szCs w:val="28"/>
          <w:lang w:val="en-GB"/>
        </w:rPr>
        <w:t xml:space="preserve"> a pension on the basis of Article 37 of </w:t>
      </w:r>
      <w:r w:rsidR="00D579A8">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 xml:space="preserve">Law No. 3723, and the public interest in maintaining the balance of the State Budget during the period of martial law in Ukraine, based on the analysis of </w:t>
      </w:r>
      <w:r w:rsidR="00BA3F7E" w:rsidRPr="00C93410">
        <w:rPr>
          <w:rFonts w:ascii="Times New Roman" w:hAnsi="Times New Roman" w:cs="Times New Roman"/>
          <w:sz w:val="28"/>
          <w:szCs w:val="28"/>
          <w:lang w:val="en-GB"/>
        </w:rPr>
        <w:t>A</w:t>
      </w:r>
      <w:r w:rsidRPr="00C93410">
        <w:rPr>
          <w:rFonts w:ascii="Times New Roman" w:hAnsi="Times New Roman" w:cs="Times New Roman"/>
          <w:sz w:val="28"/>
          <w:szCs w:val="28"/>
          <w:lang w:val="en-GB"/>
        </w:rPr>
        <w:t>rticles 3, 8, 24, 46, 64</w:t>
      </w:r>
      <w:r w:rsidR="00D579A8">
        <w:rPr>
          <w:rFonts w:ascii="Times New Roman" w:hAnsi="Times New Roman" w:cs="Times New Roman"/>
          <w:sz w:val="28"/>
          <w:szCs w:val="28"/>
          <w:lang w:val="en-GB"/>
        </w:rPr>
        <w:t xml:space="preserve"> and</w:t>
      </w:r>
      <w:r w:rsidRPr="00C93410">
        <w:rPr>
          <w:rFonts w:ascii="Times New Roman" w:hAnsi="Times New Roman" w:cs="Times New Roman"/>
          <w:sz w:val="28"/>
          <w:szCs w:val="28"/>
          <w:lang w:val="en-GB"/>
        </w:rPr>
        <w:t xml:space="preserve"> 95 of the Basic Law in their </w:t>
      </w:r>
      <w:r w:rsidR="002E3B97" w:rsidRPr="00C93410">
        <w:rPr>
          <w:rFonts w:ascii="Times New Roman" w:hAnsi="Times New Roman" w:cs="Times New Roman"/>
          <w:sz w:val="28"/>
          <w:szCs w:val="28"/>
          <w:lang w:val="en-GB"/>
        </w:rPr>
        <w:t>substantial correlations</w:t>
      </w:r>
      <w:r w:rsidRPr="00C93410">
        <w:rPr>
          <w:rFonts w:ascii="Times New Roman" w:hAnsi="Times New Roman" w:cs="Times New Roman"/>
          <w:sz w:val="28"/>
          <w:szCs w:val="28"/>
          <w:lang w:val="en-GB"/>
        </w:rPr>
        <w:t xml:space="preserve">, the Constitutional Court considers it expedient to postpone the </w:t>
      </w:r>
      <w:r w:rsidR="002E3B97" w:rsidRPr="00C93410">
        <w:rPr>
          <w:rFonts w:ascii="Times New Roman" w:hAnsi="Times New Roman" w:cs="Times New Roman"/>
          <w:sz w:val="28"/>
          <w:szCs w:val="28"/>
          <w:lang w:val="en-GB"/>
        </w:rPr>
        <w:t>expir</w:t>
      </w:r>
      <w:r w:rsidR="00D579A8">
        <w:rPr>
          <w:rFonts w:ascii="Times New Roman" w:hAnsi="Times New Roman" w:cs="Times New Roman"/>
          <w:sz w:val="28"/>
          <w:szCs w:val="28"/>
          <w:lang w:val="en-GB"/>
        </w:rPr>
        <w:t>ation</w:t>
      </w:r>
      <w:r w:rsidRPr="00C93410">
        <w:rPr>
          <w:rFonts w:ascii="Times New Roman" w:hAnsi="Times New Roman" w:cs="Times New Roman"/>
          <w:sz w:val="28"/>
          <w:szCs w:val="28"/>
          <w:lang w:val="en-GB"/>
        </w:rPr>
        <w:t xml:space="preserve"> of </w:t>
      </w:r>
      <w:r w:rsidR="002E3B97" w:rsidRPr="00C93410">
        <w:rPr>
          <w:rFonts w:ascii="Times New Roman" w:hAnsi="Times New Roman" w:cs="Times New Roman"/>
          <w:sz w:val="28"/>
          <w:szCs w:val="28"/>
          <w:lang w:val="en-GB"/>
        </w:rPr>
        <w:t>the effect</w:t>
      </w:r>
      <w:r w:rsidRPr="00C93410">
        <w:rPr>
          <w:rFonts w:ascii="Times New Roman" w:hAnsi="Times New Roman" w:cs="Times New Roman"/>
          <w:sz w:val="28"/>
          <w:szCs w:val="28"/>
          <w:lang w:val="en-GB"/>
        </w:rPr>
        <w:t xml:space="preserve"> of subparagraph 1 of paragraph 2 of </w:t>
      </w:r>
      <w:r w:rsidR="00BA3F7E" w:rsidRPr="00C93410">
        <w:rPr>
          <w:rFonts w:ascii="Times New Roman" w:hAnsi="Times New Roman" w:cs="Times New Roman"/>
          <w:sz w:val="28"/>
          <w:szCs w:val="28"/>
          <w:lang w:val="en-GB"/>
        </w:rPr>
        <w:t>Section</w:t>
      </w:r>
      <w:r w:rsidRPr="00C93410">
        <w:rPr>
          <w:rFonts w:ascii="Times New Roman" w:hAnsi="Times New Roman" w:cs="Times New Roman"/>
          <w:sz w:val="28"/>
          <w:szCs w:val="28"/>
          <w:lang w:val="en-GB"/>
        </w:rPr>
        <w:t xml:space="preserve"> XI </w:t>
      </w:r>
      <w:r w:rsidR="00C24FF5" w:rsidRPr="00C93410">
        <w:rPr>
          <w:rFonts w:ascii="Times New Roman" w:hAnsi="Times New Roman" w:cs="Times New Roman"/>
          <w:sz w:val="28"/>
          <w:szCs w:val="28"/>
          <w:lang w:val="en-GB"/>
        </w:rPr>
        <w:t>“</w:t>
      </w:r>
      <w:r w:rsidRPr="00C93410">
        <w:rPr>
          <w:rFonts w:ascii="Times New Roman" w:hAnsi="Times New Roman" w:cs="Times New Roman"/>
          <w:sz w:val="28"/>
          <w:szCs w:val="28"/>
          <w:lang w:val="en-GB"/>
        </w:rPr>
        <w:t>Fi</w:t>
      </w:r>
      <w:r w:rsidR="00C24FF5" w:rsidRPr="00C93410">
        <w:rPr>
          <w:rFonts w:ascii="Times New Roman" w:hAnsi="Times New Roman" w:cs="Times New Roman"/>
          <w:sz w:val="28"/>
          <w:szCs w:val="28"/>
          <w:lang w:val="en-GB"/>
        </w:rPr>
        <w:t>nal and Transitional Provisions”</w:t>
      </w:r>
      <w:r w:rsidRPr="00C93410">
        <w:rPr>
          <w:rFonts w:ascii="Times New Roman" w:hAnsi="Times New Roman" w:cs="Times New Roman"/>
          <w:sz w:val="28"/>
          <w:szCs w:val="28"/>
          <w:lang w:val="en-GB"/>
        </w:rPr>
        <w:t xml:space="preserve"> of </w:t>
      </w:r>
      <w:r w:rsidR="00D579A8">
        <w:rPr>
          <w:rFonts w:ascii="Times New Roman" w:hAnsi="Times New Roman" w:cs="Times New Roman"/>
          <w:sz w:val="28"/>
          <w:szCs w:val="28"/>
          <w:lang w:val="en-GB"/>
        </w:rPr>
        <w:t xml:space="preserve">the </w:t>
      </w:r>
      <w:r w:rsidRPr="00C93410">
        <w:rPr>
          <w:rFonts w:ascii="Times New Roman" w:hAnsi="Times New Roman" w:cs="Times New Roman"/>
          <w:sz w:val="28"/>
          <w:szCs w:val="28"/>
          <w:lang w:val="en-GB"/>
        </w:rPr>
        <w:t>Law No. 889.</w:t>
      </w:r>
    </w:p>
    <w:p w:rsidR="00D579A8" w:rsidRDefault="00D579A8" w:rsidP="004111B3">
      <w:pPr>
        <w:pStyle w:val="HTML"/>
        <w:ind w:firstLine="851"/>
        <w:jc w:val="both"/>
        <w:rPr>
          <w:rFonts w:ascii="Times New Roman" w:hAnsi="Times New Roman" w:cs="Times New Roman"/>
          <w:sz w:val="28"/>
          <w:szCs w:val="28"/>
          <w:lang w:val="en-GB"/>
        </w:rPr>
      </w:pPr>
    </w:p>
    <w:p w:rsidR="00114A86" w:rsidRPr="00D579A8" w:rsidRDefault="00D579A8" w:rsidP="00D579A8">
      <w:pPr>
        <w:pStyle w:val="HTML"/>
        <w:ind w:firstLine="851"/>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Thus, the Constitutional Court of Ukraine held to declare </w:t>
      </w:r>
      <w:r w:rsidRPr="00D579A8">
        <w:rPr>
          <w:rFonts w:ascii="Times New Roman" w:hAnsi="Times New Roman" w:cs="Times New Roman"/>
          <w:sz w:val="28"/>
          <w:szCs w:val="28"/>
          <w:lang w:val="en-GB"/>
        </w:rPr>
        <w:t>s</w:t>
      </w:r>
      <w:r w:rsidR="00114A86" w:rsidRPr="00D579A8">
        <w:rPr>
          <w:rFonts w:ascii="Times New Roman" w:hAnsi="Times New Roman" w:cs="Times New Roman"/>
          <w:sz w:val="28"/>
          <w:szCs w:val="28"/>
          <w:lang w:val="en-GB"/>
        </w:rPr>
        <w:t xml:space="preserve">ubparagraph 1 of paragraph 2 of Section XI “Final and Transitional Provisions” of the Law “On Public Service” dated December 10, 2015 No. 889-VIII as such that does not comply with the Constitution (is unconstitutional) since it </w:t>
      </w:r>
      <w:r>
        <w:rPr>
          <w:rFonts w:ascii="Times New Roman" w:hAnsi="Times New Roman" w:cs="Times New Roman"/>
          <w:sz w:val="28"/>
          <w:szCs w:val="28"/>
          <w:lang w:val="en-GB"/>
        </w:rPr>
        <w:t xml:space="preserve">had </w:t>
      </w:r>
      <w:r w:rsidR="00114A86" w:rsidRPr="00D579A8">
        <w:rPr>
          <w:rFonts w:ascii="Times New Roman" w:hAnsi="Times New Roman" w:cs="Times New Roman"/>
          <w:sz w:val="28"/>
          <w:szCs w:val="28"/>
          <w:lang w:val="en-GB"/>
        </w:rPr>
        <w:t>made it impossible to recalculate the amounts of pensions a</w:t>
      </w:r>
      <w:r>
        <w:rPr>
          <w:rFonts w:ascii="Times New Roman" w:hAnsi="Times New Roman" w:cs="Times New Roman"/>
          <w:sz w:val="28"/>
          <w:szCs w:val="28"/>
          <w:lang w:val="en-GB"/>
        </w:rPr>
        <w:t>ccrued</w:t>
      </w:r>
      <w:r w:rsidR="00114A86" w:rsidRPr="00D579A8">
        <w:rPr>
          <w:rFonts w:ascii="Times New Roman" w:hAnsi="Times New Roman" w:cs="Times New Roman"/>
          <w:sz w:val="28"/>
          <w:szCs w:val="28"/>
          <w:lang w:val="en-GB"/>
        </w:rPr>
        <w:t xml:space="preserve"> on the basis of Article 37 of the Law “On Public Service” dated December 16, 1993 No. 3723-ХІ, as amended</w:t>
      </w:r>
      <w:r>
        <w:rPr>
          <w:rFonts w:ascii="Times New Roman" w:hAnsi="Times New Roman" w:cs="Times New Roman"/>
          <w:sz w:val="28"/>
          <w:szCs w:val="28"/>
          <w:lang w:val="en-GB"/>
        </w:rPr>
        <w:t>.</w:t>
      </w:r>
      <w:r w:rsidR="00114A86" w:rsidRPr="00D579A8">
        <w:rPr>
          <w:rFonts w:ascii="Times New Roman" w:hAnsi="Times New Roman" w:cs="Times New Roman"/>
          <w:sz w:val="28"/>
          <w:szCs w:val="28"/>
          <w:lang w:val="en-GB"/>
        </w:rPr>
        <w:t xml:space="preserve"> </w:t>
      </w:r>
      <w:r>
        <w:rPr>
          <w:rFonts w:ascii="Times New Roman" w:hAnsi="Times New Roman" w:cs="Times New Roman"/>
          <w:sz w:val="28"/>
          <w:szCs w:val="28"/>
          <w:lang w:val="en-GB"/>
        </w:rPr>
        <w:t>I</w:t>
      </w:r>
      <w:r w:rsidR="00114A86" w:rsidRPr="00D579A8">
        <w:rPr>
          <w:rFonts w:ascii="Times New Roman" w:hAnsi="Times New Roman" w:cs="Times New Roman"/>
          <w:sz w:val="28"/>
          <w:szCs w:val="28"/>
          <w:lang w:val="en-GB"/>
        </w:rPr>
        <w:t xml:space="preserve">t shall </w:t>
      </w:r>
      <w:r>
        <w:rPr>
          <w:rFonts w:ascii="Times New Roman" w:hAnsi="Times New Roman" w:cs="Times New Roman"/>
          <w:sz w:val="28"/>
          <w:szCs w:val="28"/>
          <w:lang w:val="en-GB"/>
        </w:rPr>
        <w:t xml:space="preserve">lose its effect </w:t>
      </w:r>
      <w:r w:rsidR="00114A86" w:rsidRPr="00D579A8">
        <w:rPr>
          <w:rFonts w:ascii="Times New Roman" w:hAnsi="Times New Roman" w:cs="Times New Roman"/>
          <w:sz w:val="28"/>
          <w:szCs w:val="28"/>
          <w:lang w:val="en-GB"/>
        </w:rPr>
        <w:t>three months after the termination or cancellation of martial law in Ukraine, introduced by the Decree of the President “On the Introduction of Martial Law in Ukraine” dated February 24, 2022 No. 64/2022 as amended.</w:t>
      </w:r>
    </w:p>
    <w:p w:rsidR="00114A86" w:rsidRPr="00C93410" w:rsidRDefault="00114A86" w:rsidP="00114A86">
      <w:pPr>
        <w:ind w:firstLine="851"/>
        <w:jc w:val="both"/>
        <w:rPr>
          <w:sz w:val="28"/>
          <w:szCs w:val="28"/>
          <w:lang w:val="en-GB"/>
        </w:rPr>
      </w:pPr>
      <w:r w:rsidRPr="00C93410">
        <w:rPr>
          <w:sz w:val="28"/>
          <w:szCs w:val="28"/>
          <w:lang w:val="en-GB"/>
        </w:rPr>
        <w:t>The Verkhovna Rada is to regulate the recalculation of pensions of the subject of the right to constitutional complaint and other persons who are granted the right to a</w:t>
      </w:r>
      <w:r w:rsidR="00D579A8">
        <w:rPr>
          <w:sz w:val="28"/>
          <w:szCs w:val="28"/>
          <w:lang w:val="en-GB"/>
        </w:rPr>
        <w:t>ccrual</w:t>
      </w:r>
      <w:r w:rsidRPr="00C93410">
        <w:rPr>
          <w:sz w:val="28"/>
          <w:szCs w:val="28"/>
          <w:lang w:val="en-GB"/>
        </w:rPr>
        <w:t xml:space="preserve"> of a pension on the basis of Article 37 of the Law “On Public Service” dated December 16, 1993 No. 3723-ХІ, as amended, taking into account the provisions of the Constitution and of this Decision.</w:t>
      </w:r>
    </w:p>
    <w:p w:rsidR="00114A86" w:rsidRDefault="00114A86" w:rsidP="00B83398">
      <w:pPr>
        <w:pStyle w:val="HTML"/>
        <w:ind w:firstLine="851"/>
        <w:jc w:val="both"/>
        <w:rPr>
          <w:rFonts w:ascii="Times New Roman" w:hAnsi="Times New Roman" w:cs="Times New Roman"/>
          <w:b/>
          <w:bCs/>
          <w:sz w:val="28"/>
          <w:szCs w:val="28"/>
          <w:u w:val="single"/>
          <w:lang w:val="en-GB"/>
        </w:rPr>
      </w:pPr>
    </w:p>
    <w:p w:rsidR="00FA7FDF" w:rsidRPr="00C93410" w:rsidRDefault="002E3B97" w:rsidP="00B83398">
      <w:pPr>
        <w:pStyle w:val="HTML"/>
        <w:ind w:firstLine="851"/>
        <w:jc w:val="both"/>
        <w:rPr>
          <w:rFonts w:ascii="Times New Roman" w:hAnsi="Times New Roman" w:cs="Times New Roman"/>
          <w:b/>
          <w:bCs/>
          <w:sz w:val="28"/>
          <w:szCs w:val="28"/>
          <w:u w:val="single"/>
          <w:lang w:val="en-GB"/>
        </w:rPr>
      </w:pPr>
      <w:r w:rsidRPr="00C93410">
        <w:rPr>
          <w:rFonts w:ascii="Times New Roman" w:hAnsi="Times New Roman" w:cs="Times New Roman"/>
          <w:b/>
          <w:bCs/>
          <w:sz w:val="28"/>
          <w:szCs w:val="28"/>
          <w:u w:val="single"/>
          <w:lang w:val="en-GB"/>
        </w:rPr>
        <w:t>References</w:t>
      </w:r>
      <w:r w:rsidR="00FA7FDF" w:rsidRPr="00C93410">
        <w:rPr>
          <w:rFonts w:ascii="Times New Roman" w:hAnsi="Times New Roman" w:cs="Times New Roman"/>
          <w:b/>
          <w:bCs/>
          <w:sz w:val="28"/>
          <w:szCs w:val="28"/>
          <w:u w:val="single"/>
          <w:lang w:val="en-GB"/>
        </w:rPr>
        <w:t>:</w:t>
      </w:r>
    </w:p>
    <w:p w:rsidR="00C53E6E" w:rsidRPr="00C93410" w:rsidRDefault="00C53E6E" w:rsidP="00B83398">
      <w:pPr>
        <w:pStyle w:val="HTML"/>
        <w:ind w:right="-92"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Decisions of the Constitutional Courts:</w:t>
      </w:r>
    </w:p>
    <w:p w:rsidR="00C53E6E" w:rsidRPr="00C93410" w:rsidRDefault="00C53E6E" w:rsidP="00C53E6E">
      <w:pPr>
        <w:pStyle w:val="HTML"/>
        <w:ind w:right="-92"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No. 3-r/2018 dated April 24, 2018;</w:t>
      </w:r>
    </w:p>
    <w:p w:rsidR="00C53E6E" w:rsidRPr="00C93410" w:rsidRDefault="00C53E6E" w:rsidP="00C53E6E">
      <w:pPr>
        <w:pStyle w:val="HTML"/>
        <w:ind w:right="-92"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No. 9-r/2018 dated November 7, 2018;</w:t>
      </w:r>
    </w:p>
    <w:p w:rsidR="00C53E6E" w:rsidRPr="00C93410" w:rsidRDefault="00C53E6E" w:rsidP="00C53E6E">
      <w:pPr>
        <w:pStyle w:val="HTML"/>
        <w:ind w:right="-92"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No. 1-r(ІІ)/2019 dated April 25, 2019;</w:t>
      </w:r>
    </w:p>
    <w:p w:rsidR="00C53E6E" w:rsidRPr="00C93410" w:rsidRDefault="00C53E6E" w:rsidP="00C53E6E">
      <w:pPr>
        <w:pStyle w:val="HTML"/>
        <w:ind w:right="-92"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No.  5-r(I)/2019 dated July 12, 2019;</w:t>
      </w:r>
    </w:p>
    <w:p w:rsidR="00C53E6E" w:rsidRPr="00C93410" w:rsidRDefault="00C53E6E" w:rsidP="00C53E6E">
      <w:pPr>
        <w:pStyle w:val="HTML"/>
        <w:ind w:right="-92"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No. 5-r(ІІ)/2020 dated June 18, 2020;</w:t>
      </w:r>
    </w:p>
    <w:p w:rsidR="00C53E6E" w:rsidRPr="00C93410" w:rsidRDefault="00C53E6E" w:rsidP="00C53E6E">
      <w:pPr>
        <w:pStyle w:val="HTML"/>
        <w:ind w:right="-92"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No. 9-r(ІІ)/2022 dated November 16, 2022;</w:t>
      </w:r>
    </w:p>
    <w:p w:rsidR="00C53E6E" w:rsidRPr="00C93410" w:rsidRDefault="00C53E6E" w:rsidP="00C53E6E">
      <w:pPr>
        <w:pStyle w:val="HTML"/>
        <w:ind w:right="-92"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Report on the Rule of Law adopted by the Venice Commission at its 86</w:t>
      </w:r>
      <w:r w:rsidRPr="00C93410">
        <w:rPr>
          <w:rFonts w:ascii="Times New Roman" w:hAnsi="Times New Roman" w:cs="Times New Roman"/>
          <w:sz w:val="28"/>
          <w:szCs w:val="28"/>
          <w:vertAlign w:val="superscript"/>
          <w:lang w:val="en-GB"/>
        </w:rPr>
        <w:t>th</w:t>
      </w:r>
      <w:r w:rsidRPr="00C93410">
        <w:rPr>
          <w:rFonts w:ascii="Times New Roman" w:hAnsi="Times New Roman" w:cs="Times New Roman"/>
          <w:sz w:val="28"/>
          <w:szCs w:val="28"/>
          <w:lang w:val="en-GB"/>
        </w:rPr>
        <w:t xml:space="preserve"> Plenary Session (Venice, 25-26 March 2011)</w:t>
      </w:r>
      <w:r w:rsidR="00A04576">
        <w:rPr>
          <w:rFonts w:ascii="Times New Roman" w:hAnsi="Times New Roman" w:cs="Times New Roman"/>
          <w:sz w:val="28"/>
          <w:szCs w:val="28"/>
          <w:lang w:val="en-GB"/>
        </w:rPr>
        <w:t>;</w:t>
      </w:r>
    </w:p>
    <w:p w:rsidR="00C53E6E" w:rsidRPr="00C93410" w:rsidRDefault="00B27A8F" w:rsidP="00B83398">
      <w:pPr>
        <w:pStyle w:val="HTML"/>
        <w:ind w:right="-92"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CDL-AD(2016)007-e Rule of Law Checklist, adopted by the Venice Commission at its 106</w:t>
      </w:r>
      <w:r w:rsidR="004572B0" w:rsidRPr="00C93410">
        <w:rPr>
          <w:rFonts w:ascii="Times New Roman" w:hAnsi="Times New Roman" w:cs="Times New Roman"/>
          <w:sz w:val="28"/>
          <w:szCs w:val="28"/>
          <w:vertAlign w:val="superscript"/>
          <w:lang w:val="en-GB"/>
        </w:rPr>
        <w:t>th</w:t>
      </w:r>
      <w:r w:rsidR="004572B0" w:rsidRPr="00C93410">
        <w:rPr>
          <w:rFonts w:ascii="Times New Roman" w:hAnsi="Times New Roman" w:cs="Times New Roman"/>
          <w:sz w:val="28"/>
          <w:szCs w:val="28"/>
          <w:lang w:val="en-GB"/>
        </w:rPr>
        <w:t xml:space="preserve"> </w:t>
      </w:r>
      <w:r w:rsidRPr="00C93410">
        <w:rPr>
          <w:rFonts w:ascii="Times New Roman" w:hAnsi="Times New Roman" w:cs="Times New Roman"/>
          <w:sz w:val="28"/>
          <w:szCs w:val="28"/>
          <w:lang w:val="en-GB"/>
        </w:rPr>
        <w:t>Plenary Session (Venice, 11-12 March 2016)</w:t>
      </w:r>
      <w:r w:rsidR="00A04576">
        <w:rPr>
          <w:rFonts w:ascii="Times New Roman" w:hAnsi="Times New Roman" w:cs="Times New Roman"/>
          <w:sz w:val="28"/>
          <w:szCs w:val="28"/>
          <w:lang w:val="en-GB"/>
        </w:rPr>
        <w:t>;</w:t>
      </w:r>
    </w:p>
    <w:p w:rsidR="00C53E6E" w:rsidRPr="00C93410" w:rsidRDefault="004821FA" w:rsidP="00B83398">
      <w:pPr>
        <w:pStyle w:val="HTML"/>
        <w:ind w:right="-92" w:firstLine="851"/>
        <w:jc w:val="both"/>
        <w:rPr>
          <w:rFonts w:ascii="Times New Roman" w:hAnsi="Times New Roman" w:cs="Times New Roman"/>
          <w:sz w:val="28"/>
          <w:szCs w:val="28"/>
          <w:lang w:val="en-GB"/>
        </w:rPr>
      </w:pPr>
      <w:r w:rsidRPr="00C93410">
        <w:rPr>
          <w:rFonts w:ascii="Times New Roman" w:hAnsi="Times New Roman" w:cs="Times New Roman"/>
          <w:sz w:val="28"/>
          <w:szCs w:val="28"/>
          <w:lang w:val="en-GB"/>
        </w:rPr>
        <w:t>Judgment of the European Court of Human Rights</w:t>
      </w:r>
      <w:r w:rsidR="00D579A8">
        <w:rPr>
          <w:rFonts w:ascii="Times New Roman" w:hAnsi="Times New Roman" w:cs="Times New Roman"/>
          <w:sz w:val="28"/>
          <w:szCs w:val="28"/>
          <w:lang w:val="en-GB"/>
        </w:rPr>
        <w:t xml:space="preserve"> in the</w:t>
      </w:r>
      <w:r w:rsidRPr="00C93410">
        <w:rPr>
          <w:rFonts w:ascii="Times New Roman" w:hAnsi="Times New Roman" w:cs="Times New Roman"/>
          <w:sz w:val="28"/>
          <w:szCs w:val="28"/>
          <w:lang w:val="en-GB"/>
        </w:rPr>
        <w:t xml:space="preserve"> </w:t>
      </w:r>
      <w:r w:rsidR="00D579A8">
        <w:rPr>
          <w:rFonts w:ascii="Times New Roman" w:hAnsi="Times New Roman" w:cs="Times New Roman"/>
          <w:sz w:val="28"/>
          <w:szCs w:val="28"/>
          <w:lang w:val="en-GB"/>
        </w:rPr>
        <w:t>c</w:t>
      </w:r>
      <w:r w:rsidRPr="00C93410">
        <w:rPr>
          <w:rFonts w:ascii="Times New Roman" w:hAnsi="Times New Roman" w:cs="Times New Roman"/>
          <w:sz w:val="28"/>
          <w:szCs w:val="28"/>
          <w:lang w:val="en-GB"/>
        </w:rPr>
        <w:t>ase of Pichkur v. Ukraine</w:t>
      </w:r>
      <w:r w:rsidR="00D579A8">
        <w:rPr>
          <w:rFonts w:ascii="Times New Roman" w:hAnsi="Times New Roman" w:cs="Times New Roman"/>
          <w:sz w:val="28"/>
          <w:szCs w:val="28"/>
          <w:lang w:val="en-GB"/>
        </w:rPr>
        <w:t>,</w:t>
      </w:r>
      <w:r w:rsidRPr="00C93410">
        <w:rPr>
          <w:rFonts w:ascii="Times New Roman" w:hAnsi="Times New Roman" w:cs="Times New Roman"/>
          <w:sz w:val="28"/>
          <w:szCs w:val="28"/>
          <w:lang w:val="en-GB"/>
        </w:rPr>
        <w:t xml:space="preserve"> 7 November 2013</w:t>
      </w:r>
      <w:r w:rsidR="00823161">
        <w:rPr>
          <w:rFonts w:ascii="Times New Roman" w:hAnsi="Times New Roman" w:cs="Times New Roman"/>
          <w:sz w:val="28"/>
          <w:szCs w:val="28"/>
          <w:lang w:val="en-GB"/>
        </w:rPr>
        <w:t xml:space="preserve"> </w:t>
      </w:r>
      <w:r w:rsidRPr="00C93410">
        <w:rPr>
          <w:rFonts w:ascii="Times New Roman" w:hAnsi="Times New Roman" w:cs="Times New Roman"/>
          <w:sz w:val="28"/>
          <w:szCs w:val="28"/>
          <w:lang w:val="en-GB"/>
        </w:rPr>
        <w:t xml:space="preserve">(application no. 10441/06). </w:t>
      </w:r>
    </w:p>
    <w:p w:rsidR="00C53E6E" w:rsidRPr="00C93410" w:rsidRDefault="00C53E6E" w:rsidP="00B83398">
      <w:pPr>
        <w:pStyle w:val="HTML"/>
        <w:ind w:right="-92" w:firstLine="851"/>
        <w:jc w:val="both"/>
        <w:rPr>
          <w:rFonts w:ascii="Times New Roman" w:hAnsi="Times New Roman" w:cs="Times New Roman"/>
          <w:sz w:val="28"/>
          <w:szCs w:val="28"/>
          <w:lang w:val="en-GB"/>
        </w:rPr>
      </w:pPr>
    </w:p>
    <w:p w:rsidR="00C93410" w:rsidRPr="00C93410" w:rsidRDefault="00C93410">
      <w:pPr>
        <w:pStyle w:val="HTML"/>
        <w:ind w:right="-92" w:firstLine="851"/>
        <w:jc w:val="both"/>
        <w:rPr>
          <w:rFonts w:ascii="Times New Roman" w:hAnsi="Times New Roman" w:cs="Times New Roman"/>
          <w:sz w:val="28"/>
          <w:szCs w:val="28"/>
          <w:lang w:val="en-GB"/>
        </w:rPr>
      </w:pPr>
    </w:p>
    <w:sectPr w:rsidR="00C93410" w:rsidRPr="00C9341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86F" w:rsidRDefault="004F286F" w:rsidP="00786030">
      <w:r>
        <w:separator/>
      </w:r>
    </w:p>
  </w:endnote>
  <w:endnote w:type="continuationSeparator" w:id="0">
    <w:p w:rsidR="004F286F" w:rsidRDefault="004F286F" w:rsidP="0078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86F" w:rsidRDefault="004F286F" w:rsidP="00786030">
      <w:r>
        <w:separator/>
      </w:r>
    </w:p>
  </w:footnote>
  <w:footnote w:type="continuationSeparator" w:id="0">
    <w:p w:rsidR="004F286F" w:rsidRDefault="004F286F" w:rsidP="00786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DF"/>
    <w:rsid w:val="00005658"/>
    <w:rsid w:val="00006D97"/>
    <w:rsid w:val="000200A7"/>
    <w:rsid w:val="00023A8B"/>
    <w:rsid w:val="00027C24"/>
    <w:rsid w:val="000354BE"/>
    <w:rsid w:val="000460DF"/>
    <w:rsid w:val="00050287"/>
    <w:rsid w:val="00071AAC"/>
    <w:rsid w:val="00072DF8"/>
    <w:rsid w:val="000762F0"/>
    <w:rsid w:val="00076FF9"/>
    <w:rsid w:val="00084C15"/>
    <w:rsid w:val="00091C1E"/>
    <w:rsid w:val="000A29A0"/>
    <w:rsid w:val="000A7695"/>
    <w:rsid w:val="000B48B1"/>
    <w:rsid w:val="000C3B96"/>
    <w:rsid w:val="000C677D"/>
    <w:rsid w:val="000D26EB"/>
    <w:rsid w:val="000D2B7D"/>
    <w:rsid w:val="000D6E18"/>
    <w:rsid w:val="000E0336"/>
    <w:rsid w:val="0010239A"/>
    <w:rsid w:val="001024FD"/>
    <w:rsid w:val="001031B5"/>
    <w:rsid w:val="00103CA9"/>
    <w:rsid w:val="00112107"/>
    <w:rsid w:val="00114A86"/>
    <w:rsid w:val="001201F5"/>
    <w:rsid w:val="0014575A"/>
    <w:rsid w:val="001579EF"/>
    <w:rsid w:val="00172DA9"/>
    <w:rsid w:val="00185020"/>
    <w:rsid w:val="00185A28"/>
    <w:rsid w:val="00190233"/>
    <w:rsid w:val="001903B8"/>
    <w:rsid w:val="001917EA"/>
    <w:rsid w:val="00193D98"/>
    <w:rsid w:val="001968F8"/>
    <w:rsid w:val="00196F6C"/>
    <w:rsid w:val="001A139F"/>
    <w:rsid w:val="001B056E"/>
    <w:rsid w:val="001B111C"/>
    <w:rsid w:val="001C2064"/>
    <w:rsid w:val="001C71B1"/>
    <w:rsid w:val="001D0564"/>
    <w:rsid w:val="001E1344"/>
    <w:rsid w:val="001F17CE"/>
    <w:rsid w:val="00213752"/>
    <w:rsid w:val="00213DEE"/>
    <w:rsid w:val="00217C78"/>
    <w:rsid w:val="002214FC"/>
    <w:rsid w:val="002225DC"/>
    <w:rsid w:val="00234BBC"/>
    <w:rsid w:val="002355AC"/>
    <w:rsid w:val="002361BE"/>
    <w:rsid w:val="00246BEE"/>
    <w:rsid w:val="00247AD2"/>
    <w:rsid w:val="00253797"/>
    <w:rsid w:val="00262ADD"/>
    <w:rsid w:val="0027305B"/>
    <w:rsid w:val="00290CC3"/>
    <w:rsid w:val="00292E69"/>
    <w:rsid w:val="00293989"/>
    <w:rsid w:val="00296923"/>
    <w:rsid w:val="00296A67"/>
    <w:rsid w:val="002974C5"/>
    <w:rsid w:val="002B306C"/>
    <w:rsid w:val="002C55D0"/>
    <w:rsid w:val="002D3C88"/>
    <w:rsid w:val="002D56F9"/>
    <w:rsid w:val="002E29F7"/>
    <w:rsid w:val="002E3B97"/>
    <w:rsid w:val="002E4860"/>
    <w:rsid w:val="002E6F4D"/>
    <w:rsid w:val="002E71A0"/>
    <w:rsid w:val="002F57DF"/>
    <w:rsid w:val="002F6A03"/>
    <w:rsid w:val="002F77F9"/>
    <w:rsid w:val="0031187C"/>
    <w:rsid w:val="00312B39"/>
    <w:rsid w:val="00315C34"/>
    <w:rsid w:val="00315EE0"/>
    <w:rsid w:val="0033330F"/>
    <w:rsid w:val="0033508B"/>
    <w:rsid w:val="00341464"/>
    <w:rsid w:val="00346C7C"/>
    <w:rsid w:val="00373E47"/>
    <w:rsid w:val="00374DC3"/>
    <w:rsid w:val="0038407F"/>
    <w:rsid w:val="00384778"/>
    <w:rsid w:val="00394176"/>
    <w:rsid w:val="00396619"/>
    <w:rsid w:val="003B1E26"/>
    <w:rsid w:val="003D17E9"/>
    <w:rsid w:val="003D2BFF"/>
    <w:rsid w:val="003F0F01"/>
    <w:rsid w:val="003F29E5"/>
    <w:rsid w:val="003F7155"/>
    <w:rsid w:val="00401DB4"/>
    <w:rsid w:val="00403924"/>
    <w:rsid w:val="00407595"/>
    <w:rsid w:val="00410148"/>
    <w:rsid w:val="004111B3"/>
    <w:rsid w:val="00412B6B"/>
    <w:rsid w:val="00435892"/>
    <w:rsid w:val="00436844"/>
    <w:rsid w:val="00440EC6"/>
    <w:rsid w:val="0044238F"/>
    <w:rsid w:val="0045541F"/>
    <w:rsid w:val="00456575"/>
    <w:rsid w:val="00457135"/>
    <w:rsid w:val="004572B0"/>
    <w:rsid w:val="004627A1"/>
    <w:rsid w:val="00465098"/>
    <w:rsid w:val="00467A21"/>
    <w:rsid w:val="00471F97"/>
    <w:rsid w:val="004821FA"/>
    <w:rsid w:val="004975D3"/>
    <w:rsid w:val="004A5F5C"/>
    <w:rsid w:val="004B26F0"/>
    <w:rsid w:val="004B5049"/>
    <w:rsid w:val="004B5CDD"/>
    <w:rsid w:val="004B7573"/>
    <w:rsid w:val="004C0F6D"/>
    <w:rsid w:val="004C107B"/>
    <w:rsid w:val="004C6612"/>
    <w:rsid w:val="004D29F7"/>
    <w:rsid w:val="004D4E9C"/>
    <w:rsid w:val="004D6EA2"/>
    <w:rsid w:val="004E0FB2"/>
    <w:rsid w:val="004E21A5"/>
    <w:rsid w:val="004E5F95"/>
    <w:rsid w:val="004E6FDA"/>
    <w:rsid w:val="004E7297"/>
    <w:rsid w:val="004E7A5F"/>
    <w:rsid w:val="004F047E"/>
    <w:rsid w:val="004F286F"/>
    <w:rsid w:val="00502951"/>
    <w:rsid w:val="00512A15"/>
    <w:rsid w:val="00515E68"/>
    <w:rsid w:val="00537C08"/>
    <w:rsid w:val="00543C1C"/>
    <w:rsid w:val="00550441"/>
    <w:rsid w:val="00553822"/>
    <w:rsid w:val="00562BD6"/>
    <w:rsid w:val="00567806"/>
    <w:rsid w:val="00572322"/>
    <w:rsid w:val="0057514E"/>
    <w:rsid w:val="005811B1"/>
    <w:rsid w:val="00584600"/>
    <w:rsid w:val="00593BB9"/>
    <w:rsid w:val="00594203"/>
    <w:rsid w:val="005A709E"/>
    <w:rsid w:val="005B2C3E"/>
    <w:rsid w:val="005C0B06"/>
    <w:rsid w:val="005C1862"/>
    <w:rsid w:val="005C5724"/>
    <w:rsid w:val="005C64DC"/>
    <w:rsid w:val="005D01FE"/>
    <w:rsid w:val="005E2F18"/>
    <w:rsid w:val="005F102B"/>
    <w:rsid w:val="005F3208"/>
    <w:rsid w:val="005F3EF2"/>
    <w:rsid w:val="005F4F51"/>
    <w:rsid w:val="005F5FFF"/>
    <w:rsid w:val="005F684E"/>
    <w:rsid w:val="00605125"/>
    <w:rsid w:val="006102BF"/>
    <w:rsid w:val="00611044"/>
    <w:rsid w:val="0061581D"/>
    <w:rsid w:val="00626572"/>
    <w:rsid w:val="00634EF6"/>
    <w:rsid w:val="00662843"/>
    <w:rsid w:val="00664B74"/>
    <w:rsid w:val="00664F41"/>
    <w:rsid w:val="00667394"/>
    <w:rsid w:val="00677F55"/>
    <w:rsid w:val="00680E1C"/>
    <w:rsid w:val="00682B04"/>
    <w:rsid w:val="00686AD7"/>
    <w:rsid w:val="00695734"/>
    <w:rsid w:val="00696B07"/>
    <w:rsid w:val="006B223B"/>
    <w:rsid w:val="006C7457"/>
    <w:rsid w:val="006D3329"/>
    <w:rsid w:val="006D3698"/>
    <w:rsid w:val="006D4D2D"/>
    <w:rsid w:val="006E7475"/>
    <w:rsid w:val="006F1C30"/>
    <w:rsid w:val="006F248A"/>
    <w:rsid w:val="006F7B84"/>
    <w:rsid w:val="007260AA"/>
    <w:rsid w:val="007308EA"/>
    <w:rsid w:val="00732322"/>
    <w:rsid w:val="00743C57"/>
    <w:rsid w:val="00743EE0"/>
    <w:rsid w:val="00744C72"/>
    <w:rsid w:val="00751605"/>
    <w:rsid w:val="00756B58"/>
    <w:rsid w:val="00757019"/>
    <w:rsid w:val="007606F6"/>
    <w:rsid w:val="00763334"/>
    <w:rsid w:val="00766138"/>
    <w:rsid w:val="00781AEA"/>
    <w:rsid w:val="00782141"/>
    <w:rsid w:val="00786030"/>
    <w:rsid w:val="00794FAF"/>
    <w:rsid w:val="007A2229"/>
    <w:rsid w:val="007A2DCA"/>
    <w:rsid w:val="007A53FF"/>
    <w:rsid w:val="007A58A9"/>
    <w:rsid w:val="007B23D5"/>
    <w:rsid w:val="007B2D8A"/>
    <w:rsid w:val="007B7215"/>
    <w:rsid w:val="007C08A9"/>
    <w:rsid w:val="007C1662"/>
    <w:rsid w:val="007D31E9"/>
    <w:rsid w:val="007D445D"/>
    <w:rsid w:val="007D5674"/>
    <w:rsid w:val="007E5589"/>
    <w:rsid w:val="00805A87"/>
    <w:rsid w:val="008121D6"/>
    <w:rsid w:val="0082146E"/>
    <w:rsid w:val="00823161"/>
    <w:rsid w:val="00826A7A"/>
    <w:rsid w:val="008444D4"/>
    <w:rsid w:val="0085216C"/>
    <w:rsid w:val="00870CD7"/>
    <w:rsid w:val="00876160"/>
    <w:rsid w:val="008778CF"/>
    <w:rsid w:val="00880A08"/>
    <w:rsid w:val="0088265C"/>
    <w:rsid w:val="00894928"/>
    <w:rsid w:val="00896413"/>
    <w:rsid w:val="008A361D"/>
    <w:rsid w:val="008B4D20"/>
    <w:rsid w:val="008C1C1D"/>
    <w:rsid w:val="008C760C"/>
    <w:rsid w:val="008E0E6B"/>
    <w:rsid w:val="008E57B6"/>
    <w:rsid w:val="008E77E4"/>
    <w:rsid w:val="008F2657"/>
    <w:rsid w:val="008F2A16"/>
    <w:rsid w:val="00900388"/>
    <w:rsid w:val="00902E7A"/>
    <w:rsid w:val="0090695C"/>
    <w:rsid w:val="009155F0"/>
    <w:rsid w:val="00921AE4"/>
    <w:rsid w:val="00930C66"/>
    <w:rsid w:val="00930E35"/>
    <w:rsid w:val="009312B6"/>
    <w:rsid w:val="0094311B"/>
    <w:rsid w:val="00951386"/>
    <w:rsid w:val="00952766"/>
    <w:rsid w:val="00954764"/>
    <w:rsid w:val="009573CB"/>
    <w:rsid w:val="00957B2E"/>
    <w:rsid w:val="009608C8"/>
    <w:rsid w:val="00970CAF"/>
    <w:rsid w:val="00972122"/>
    <w:rsid w:val="00974E51"/>
    <w:rsid w:val="00976C8C"/>
    <w:rsid w:val="00984EF3"/>
    <w:rsid w:val="00992FC7"/>
    <w:rsid w:val="00993AA2"/>
    <w:rsid w:val="009967DC"/>
    <w:rsid w:val="00997D5C"/>
    <w:rsid w:val="009A1891"/>
    <w:rsid w:val="009A1ED0"/>
    <w:rsid w:val="009B4C02"/>
    <w:rsid w:val="009C6175"/>
    <w:rsid w:val="009D5156"/>
    <w:rsid w:val="009E0E6B"/>
    <w:rsid w:val="009E224B"/>
    <w:rsid w:val="009E5585"/>
    <w:rsid w:val="00A04576"/>
    <w:rsid w:val="00A16FB8"/>
    <w:rsid w:val="00A22FC5"/>
    <w:rsid w:val="00A315A2"/>
    <w:rsid w:val="00A35E91"/>
    <w:rsid w:val="00A36DB4"/>
    <w:rsid w:val="00A427DB"/>
    <w:rsid w:val="00A453EA"/>
    <w:rsid w:val="00A468DA"/>
    <w:rsid w:val="00A46D0D"/>
    <w:rsid w:val="00A5116F"/>
    <w:rsid w:val="00A5696F"/>
    <w:rsid w:val="00A57A04"/>
    <w:rsid w:val="00A621C7"/>
    <w:rsid w:val="00A64496"/>
    <w:rsid w:val="00A7774F"/>
    <w:rsid w:val="00A809A6"/>
    <w:rsid w:val="00A84692"/>
    <w:rsid w:val="00A973F5"/>
    <w:rsid w:val="00AA7448"/>
    <w:rsid w:val="00AB30EA"/>
    <w:rsid w:val="00AB617C"/>
    <w:rsid w:val="00AB7D95"/>
    <w:rsid w:val="00AC1AE2"/>
    <w:rsid w:val="00AC4908"/>
    <w:rsid w:val="00AD0E2C"/>
    <w:rsid w:val="00AD1C3B"/>
    <w:rsid w:val="00AD2295"/>
    <w:rsid w:val="00AD4B5A"/>
    <w:rsid w:val="00AE6266"/>
    <w:rsid w:val="00AF358F"/>
    <w:rsid w:val="00B0044E"/>
    <w:rsid w:val="00B06FA4"/>
    <w:rsid w:val="00B21255"/>
    <w:rsid w:val="00B2656D"/>
    <w:rsid w:val="00B27A8F"/>
    <w:rsid w:val="00B30FA6"/>
    <w:rsid w:val="00B3428F"/>
    <w:rsid w:val="00B42966"/>
    <w:rsid w:val="00B45461"/>
    <w:rsid w:val="00B45797"/>
    <w:rsid w:val="00B45EE7"/>
    <w:rsid w:val="00B52C7F"/>
    <w:rsid w:val="00B65FC6"/>
    <w:rsid w:val="00B7793D"/>
    <w:rsid w:val="00B83398"/>
    <w:rsid w:val="00B8458C"/>
    <w:rsid w:val="00B91E62"/>
    <w:rsid w:val="00BA21CC"/>
    <w:rsid w:val="00BA3352"/>
    <w:rsid w:val="00BA3F7E"/>
    <w:rsid w:val="00BA6204"/>
    <w:rsid w:val="00BD0420"/>
    <w:rsid w:val="00BD58F4"/>
    <w:rsid w:val="00BD5E1A"/>
    <w:rsid w:val="00BD605B"/>
    <w:rsid w:val="00BD6C15"/>
    <w:rsid w:val="00BE04C1"/>
    <w:rsid w:val="00BE3F75"/>
    <w:rsid w:val="00BE60C4"/>
    <w:rsid w:val="00BF0E97"/>
    <w:rsid w:val="00BF3A28"/>
    <w:rsid w:val="00C15B79"/>
    <w:rsid w:val="00C1702C"/>
    <w:rsid w:val="00C21957"/>
    <w:rsid w:val="00C24FF5"/>
    <w:rsid w:val="00C26D95"/>
    <w:rsid w:val="00C453AB"/>
    <w:rsid w:val="00C51238"/>
    <w:rsid w:val="00C53C79"/>
    <w:rsid w:val="00C53E6E"/>
    <w:rsid w:val="00C570ED"/>
    <w:rsid w:val="00C71C29"/>
    <w:rsid w:val="00C81A61"/>
    <w:rsid w:val="00C8523A"/>
    <w:rsid w:val="00C9149E"/>
    <w:rsid w:val="00C9218E"/>
    <w:rsid w:val="00C93410"/>
    <w:rsid w:val="00CA76A7"/>
    <w:rsid w:val="00CB641B"/>
    <w:rsid w:val="00CC2BC1"/>
    <w:rsid w:val="00CC3BB4"/>
    <w:rsid w:val="00CC5896"/>
    <w:rsid w:val="00CD31A2"/>
    <w:rsid w:val="00CD36A2"/>
    <w:rsid w:val="00CD64AF"/>
    <w:rsid w:val="00CD789E"/>
    <w:rsid w:val="00CE36DC"/>
    <w:rsid w:val="00CE37C8"/>
    <w:rsid w:val="00CF0A1A"/>
    <w:rsid w:val="00D02991"/>
    <w:rsid w:val="00D13052"/>
    <w:rsid w:val="00D24C17"/>
    <w:rsid w:val="00D35522"/>
    <w:rsid w:val="00D429F5"/>
    <w:rsid w:val="00D52AA9"/>
    <w:rsid w:val="00D562A1"/>
    <w:rsid w:val="00D579A8"/>
    <w:rsid w:val="00D62571"/>
    <w:rsid w:val="00D640B9"/>
    <w:rsid w:val="00D670BB"/>
    <w:rsid w:val="00D80D6D"/>
    <w:rsid w:val="00D85A0A"/>
    <w:rsid w:val="00D87277"/>
    <w:rsid w:val="00D93741"/>
    <w:rsid w:val="00DA08C7"/>
    <w:rsid w:val="00DA16E5"/>
    <w:rsid w:val="00DA2F16"/>
    <w:rsid w:val="00DA48C6"/>
    <w:rsid w:val="00DA552F"/>
    <w:rsid w:val="00DA5D60"/>
    <w:rsid w:val="00DB19E2"/>
    <w:rsid w:val="00DB43F5"/>
    <w:rsid w:val="00DB6427"/>
    <w:rsid w:val="00DB6EF4"/>
    <w:rsid w:val="00DC5E29"/>
    <w:rsid w:val="00DC6136"/>
    <w:rsid w:val="00DD3045"/>
    <w:rsid w:val="00DD40A4"/>
    <w:rsid w:val="00DD4634"/>
    <w:rsid w:val="00DD4FBB"/>
    <w:rsid w:val="00DD766B"/>
    <w:rsid w:val="00DE15B2"/>
    <w:rsid w:val="00DE1F14"/>
    <w:rsid w:val="00DF02C8"/>
    <w:rsid w:val="00DF1A05"/>
    <w:rsid w:val="00DF3078"/>
    <w:rsid w:val="00E00B0E"/>
    <w:rsid w:val="00E109A6"/>
    <w:rsid w:val="00E167F5"/>
    <w:rsid w:val="00E30728"/>
    <w:rsid w:val="00E31613"/>
    <w:rsid w:val="00E46DCB"/>
    <w:rsid w:val="00E47C13"/>
    <w:rsid w:val="00E50A27"/>
    <w:rsid w:val="00E542CC"/>
    <w:rsid w:val="00E55AA7"/>
    <w:rsid w:val="00E652CE"/>
    <w:rsid w:val="00E74B26"/>
    <w:rsid w:val="00E75D87"/>
    <w:rsid w:val="00E85315"/>
    <w:rsid w:val="00E97E5F"/>
    <w:rsid w:val="00EA6244"/>
    <w:rsid w:val="00EA631D"/>
    <w:rsid w:val="00EB0EB2"/>
    <w:rsid w:val="00EB284D"/>
    <w:rsid w:val="00EB69B5"/>
    <w:rsid w:val="00EB704E"/>
    <w:rsid w:val="00EC1B3A"/>
    <w:rsid w:val="00EC5FFD"/>
    <w:rsid w:val="00ED0F8F"/>
    <w:rsid w:val="00ED796D"/>
    <w:rsid w:val="00EE0D49"/>
    <w:rsid w:val="00EE1A93"/>
    <w:rsid w:val="00EE26F7"/>
    <w:rsid w:val="00EE3782"/>
    <w:rsid w:val="00EE5D20"/>
    <w:rsid w:val="00EE73B2"/>
    <w:rsid w:val="00EF2089"/>
    <w:rsid w:val="00EF7D16"/>
    <w:rsid w:val="00F04D49"/>
    <w:rsid w:val="00F139A5"/>
    <w:rsid w:val="00F153D0"/>
    <w:rsid w:val="00F31154"/>
    <w:rsid w:val="00F31F26"/>
    <w:rsid w:val="00F32500"/>
    <w:rsid w:val="00F339CA"/>
    <w:rsid w:val="00F37E99"/>
    <w:rsid w:val="00F45C30"/>
    <w:rsid w:val="00F53B7A"/>
    <w:rsid w:val="00F6578B"/>
    <w:rsid w:val="00F6582A"/>
    <w:rsid w:val="00F6768B"/>
    <w:rsid w:val="00F75FB9"/>
    <w:rsid w:val="00F76BB8"/>
    <w:rsid w:val="00F7712A"/>
    <w:rsid w:val="00F77752"/>
    <w:rsid w:val="00F81ECA"/>
    <w:rsid w:val="00FA48D8"/>
    <w:rsid w:val="00FA5662"/>
    <w:rsid w:val="00FA7FDF"/>
    <w:rsid w:val="00FB46C6"/>
    <w:rsid w:val="00FB5B9F"/>
    <w:rsid w:val="00FC0882"/>
    <w:rsid w:val="00FC65F9"/>
    <w:rsid w:val="00FD2964"/>
    <w:rsid w:val="00FD5CBE"/>
    <w:rsid w:val="00FD73DE"/>
    <w:rsid w:val="00FE13FD"/>
    <w:rsid w:val="00FE7E68"/>
    <w:rsid w:val="00FE7FBF"/>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F8E6"/>
  <w15:chartTrackingRefBased/>
  <w15:docId w15:val="{3CE9740F-FA65-4DFA-A5BC-FD62B334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FDF"/>
    <w:pPr>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A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rsid w:val="00FA7FDF"/>
    <w:rPr>
      <w:rFonts w:ascii="Courier New" w:eastAsia="Times New Roman" w:hAnsi="Courier New" w:cs="Courier New"/>
      <w:sz w:val="24"/>
      <w:szCs w:val="24"/>
      <w:lang w:val="ru-RU" w:eastAsia="uk-UA"/>
    </w:rPr>
  </w:style>
  <w:style w:type="paragraph" w:styleId="a3">
    <w:name w:val="Body Text"/>
    <w:basedOn w:val="a"/>
    <w:link w:val="a4"/>
    <w:uiPriority w:val="99"/>
    <w:unhideWhenUsed/>
    <w:rsid w:val="00FA7FDF"/>
    <w:pPr>
      <w:spacing w:after="120"/>
    </w:pPr>
  </w:style>
  <w:style w:type="character" w:customStyle="1" w:styleId="a4">
    <w:name w:val="Основний текст Знак"/>
    <w:basedOn w:val="a0"/>
    <w:link w:val="a3"/>
    <w:uiPriority w:val="99"/>
    <w:rsid w:val="00FA7FDF"/>
    <w:rPr>
      <w:rFonts w:ascii="Times New Roman" w:eastAsia="Times New Roman" w:hAnsi="Times New Roman" w:cs="Times New Roman"/>
      <w:sz w:val="24"/>
      <w:szCs w:val="24"/>
      <w:lang w:val="ru-RU" w:eastAsia="uk-UA"/>
    </w:rPr>
  </w:style>
  <w:style w:type="paragraph" w:styleId="a5">
    <w:name w:val="Body Text Indent"/>
    <w:basedOn w:val="a"/>
    <w:link w:val="a6"/>
    <w:uiPriority w:val="99"/>
    <w:unhideWhenUsed/>
    <w:rsid w:val="00FA7FDF"/>
    <w:pPr>
      <w:spacing w:after="120"/>
      <w:ind w:left="283"/>
    </w:pPr>
  </w:style>
  <w:style w:type="character" w:customStyle="1" w:styleId="a6">
    <w:name w:val="Основний текст з відступом Знак"/>
    <w:basedOn w:val="a0"/>
    <w:link w:val="a5"/>
    <w:uiPriority w:val="99"/>
    <w:rsid w:val="00FA7FDF"/>
    <w:rPr>
      <w:rFonts w:ascii="Times New Roman" w:eastAsia="Times New Roman" w:hAnsi="Times New Roman" w:cs="Times New Roman"/>
      <w:sz w:val="24"/>
      <w:szCs w:val="24"/>
      <w:lang w:val="ru-RU" w:eastAsia="uk-UA"/>
    </w:rPr>
  </w:style>
  <w:style w:type="paragraph" w:styleId="2">
    <w:name w:val="Body Text 2"/>
    <w:basedOn w:val="a"/>
    <w:link w:val="20"/>
    <w:uiPriority w:val="99"/>
    <w:unhideWhenUsed/>
    <w:rsid w:val="00FA7FDF"/>
    <w:pPr>
      <w:ind w:right="1019"/>
      <w:jc w:val="both"/>
    </w:pPr>
    <w:rPr>
      <w:rFonts w:ascii="Peterburg" w:hAnsi="Peterburg" w:cs="Peterburg"/>
      <w:b/>
      <w:bCs/>
      <w:sz w:val="28"/>
      <w:szCs w:val="28"/>
    </w:rPr>
  </w:style>
  <w:style w:type="character" w:customStyle="1" w:styleId="20">
    <w:name w:val="Основний текст 2 Знак"/>
    <w:basedOn w:val="a0"/>
    <w:link w:val="2"/>
    <w:uiPriority w:val="99"/>
    <w:rsid w:val="00FA7FDF"/>
    <w:rPr>
      <w:rFonts w:ascii="Peterburg" w:eastAsia="Times New Roman" w:hAnsi="Peterburg" w:cs="Peterburg"/>
      <w:b/>
      <w:bCs/>
      <w:sz w:val="28"/>
      <w:szCs w:val="28"/>
      <w:lang w:val="ru-RU" w:eastAsia="uk-UA"/>
    </w:rPr>
  </w:style>
  <w:style w:type="paragraph" w:styleId="a7">
    <w:name w:val="Block Text"/>
    <w:basedOn w:val="a"/>
    <w:semiHidden/>
    <w:unhideWhenUsed/>
    <w:rsid w:val="00FA7FDF"/>
    <w:pPr>
      <w:autoSpaceDE/>
      <w:autoSpaceDN/>
      <w:adjustRightInd/>
      <w:spacing w:line="232" w:lineRule="auto"/>
      <w:ind w:left="180" w:right="781"/>
      <w:jc w:val="both"/>
    </w:pPr>
    <w:rPr>
      <w:rFonts w:ascii="Peterburg" w:hAnsi="Peterburg"/>
      <w:b/>
      <w:sz w:val="28"/>
      <w:szCs w:val="20"/>
      <w:lang w:eastAsia="ru-RU"/>
    </w:rPr>
  </w:style>
  <w:style w:type="paragraph" w:customStyle="1" w:styleId="p1">
    <w:name w:val="p1"/>
    <w:basedOn w:val="a"/>
    <w:rsid w:val="00FA7FDF"/>
    <w:pPr>
      <w:spacing w:before="100" w:after="100"/>
    </w:pPr>
    <w:rPr>
      <w:rFonts w:ascii="Arial" w:hAnsi="Arial" w:cs="Arial"/>
      <w:b/>
      <w:bCs/>
      <w:color w:val="000080"/>
    </w:rPr>
  </w:style>
  <w:style w:type="paragraph" w:customStyle="1" w:styleId="tit">
    <w:name w:val="tit"/>
    <w:basedOn w:val="a"/>
    <w:uiPriority w:val="99"/>
    <w:rsid w:val="00FA7FDF"/>
    <w:pPr>
      <w:spacing w:before="100" w:after="100"/>
    </w:pPr>
  </w:style>
  <w:style w:type="paragraph" w:customStyle="1" w:styleId="rvps2">
    <w:name w:val="rvps2"/>
    <w:basedOn w:val="a"/>
    <w:rsid w:val="00FA7FDF"/>
    <w:pPr>
      <w:spacing w:before="100" w:after="100"/>
    </w:pPr>
  </w:style>
  <w:style w:type="character" w:customStyle="1" w:styleId="s7d2086b4">
    <w:name w:val="s7d2086b4"/>
    <w:rsid w:val="00FA7FDF"/>
  </w:style>
  <w:style w:type="character" w:customStyle="1" w:styleId="rvts11">
    <w:name w:val="rvts11"/>
    <w:rsid w:val="00FA7FDF"/>
  </w:style>
  <w:style w:type="character" w:styleId="a8">
    <w:name w:val="Hyperlink"/>
    <w:basedOn w:val="a0"/>
    <w:uiPriority w:val="99"/>
    <w:semiHidden/>
    <w:unhideWhenUsed/>
    <w:rsid w:val="00751605"/>
    <w:rPr>
      <w:color w:val="0000FF"/>
      <w:u w:val="single"/>
    </w:rPr>
  </w:style>
  <w:style w:type="paragraph" w:styleId="a9">
    <w:name w:val="footnote text"/>
    <w:basedOn w:val="a"/>
    <w:link w:val="aa"/>
    <w:uiPriority w:val="99"/>
    <w:semiHidden/>
    <w:unhideWhenUsed/>
    <w:rsid w:val="00786030"/>
    <w:rPr>
      <w:sz w:val="20"/>
      <w:szCs w:val="20"/>
    </w:rPr>
  </w:style>
  <w:style w:type="character" w:customStyle="1" w:styleId="aa">
    <w:name w:val="Текст виноски Знак"/>
    <w:basedOn w:val="a0"/>
    <w:link w:val="a9"/>
    <w:uiPriority w:val="99"/>
    <w:semiHidden/>
    <w:rsid w:val="00786030"/>
    <w:rPr>
      <w:rFonts w:ascii="Times New Roman" w:eastAsia="Times New Roman" w:hAnsi="Times New Roman" w:cs="Times New Roman"/>
      <w:sz w:val="20"/>
      <w:szCs w:val="20"/>
      <w:lang w:val="uk-UA" w:eastAsia="uk-UA"/>
    </w:rPr>
  </w:style>
  <w:style w:type="character" w:styleId="ab">
    <w:name w:val="footnote reference"/>
    <w:basedOn w:val="a0"/>
    <w:uiPriority w:val="99"/>
    <w:semiHidden/>
    <w:unhideWhenUsed/>
    <w:rsid w:val="00786030"/>
    <w:rPr>
      <w:vertAlign w:val="superscript"/>
    </w:rPr>
  </w:style>
  <w:style w:type="paragraph" w:customStyle="1" w:styleId="1">
    <w:name w:val="Абзац списку1"/>
    <w:basedOn w:val="a"/>
    <w:rsid w:val="00296A67"/>
    <w:pPr>
      <w:autoSpaceDE/>
      <w:autoSpaceDN/>
      <w:adjustRightInd/>
      <w:spacing w:after="200" w:line="276" w:lineRule="auto"/>
      <w:ind w:left="720"/>
      <w:contextualSpacing/>
    </w:pPr>
    <w:rPr>
      <w:rFonts w:ascii="Calibri" w:hAnsi="Calibri"/>
      <w:sz w:val="22"/>
      <w:szCs w:val="22"/>
      <w:lang w:eastAsia="en-US"/>
    </w:rPr>
  </w:style>
  <w:style w:type="character" w:styleId="ac">
    <w:name w:val="Emphasis"/>
    <w:uiPriority w:val="20"/>
    <w:qFormat/>
    <w:rsid w:val="00B91E62"/>
    <w:rPr>
      <w:i/>
      <w:iCs/>
    </w:rPr>
  </w:style>
  <w:style w:type="paragraph" w:styleId="ad">
    <w:name w:val="Normal (Web)"/>
    <w:basedOn w:val="a"/>
    <w:uiPriority w:val="99"/>
    <w:unhideWhenUsed/>
    <w:rsid w:val="005F3EF2"/>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722595">
      <w:bodyDiv w:val="1"/>
      <w:marLeft w:val="0"/>
      <w:marRight w:val="0"/>
      <w:marTop w:val="0"/>
      <w:marBottom w:val="0"/>
      <w:divBdr>
        <w:top w:val="none" w:sz="0" w:space="0" w:color="auto"/>
        <w:left w:val="none" w:sz="0" w:space="0" w:color="auto"/>
        <w:bottom w:val="none" w:sz="0" w:space="0" w:color="auto"/>
        <w:right w:val="none" w:sz="0" w:space="0" w:color="auto"/>
      </w:divBdr>
    </w:div>
    <w:div w:id="6945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6CD53-FDCF-4939-9AEE-17CC5258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9325</Words>
  <Characters>5316</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 І. Кравченко</cp:lastModifiedBy>
  <cp:revision>3</cp:revision>
  <dcterms:created xsi:type="dcterms:W3CDTF">2022-12-28T10:05:00Z</dcterms:created>
  <dcterms:modified xsi:type="dcterms:W3CDTF">2022-12-28T10:45:00Z</dcterms:modified>
</cp:coreProperties>
</file>