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5C" w:rsidRDefault="0043565C" w:rsidP="00C65A14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B51B7C" w:rsidRDefault="00B51B7C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65A14" w:rsidRDefault="00C65A14" w:rsidP="00C65A14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B7C" w:rsidRDefault="00D42F13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</w:t>
      </w:r>
      <w:r w:rsidR="00C65A14">
        <w:rPr>
          <w:rFonts w:cs="Times New Roman"/>
          <w:b/>
          <w:sz w:val="28"/>
          <w:szCs w:val="28"/>
          <w:lang w:val="uk-UA"/>
        </w:rPr>
        <w:br/>
      </w:r>
      <w:r w:rsidR="00C65A14">
        <w:rPr>
          <w:rFonts w:cs="Times New Roman"/>
          <w:b/>
          <w:sz w:val="28"/>
          <w:szCs w:val="28"/>
          <w:lang w:val="uk-UA"/>
        </w:rPr>
        <w:tab/>
      </w:r>
      <w:r w:rsidR="00C65A14">
        <w:rPr>
          <w:rFonts w:cs="Times New Roman"/>
          <w:b/>
          <w:sz w:val="28"/>
          <w:szCs w:val="28"/>
          <w:lang w:val="uk-UA"/>
        </w:rPr>
        <w:tab/>
        <w:t xml:space="preserve">     </w:t>
      </w:r>
      <w:r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3-81/2021(191/21)</w:t>
      </w:r>
    </w:p>
    <w:p w:rsidR="00B51B7C" w:rsidRDefault="0083069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травня</w:t>
      </w:r>
      <w:r w:rsidR="00D42F13">
        <w:rPr>
          <w:rFonts w:cs="Times New Roman"/>
          <w:sz w:val="28"/>
          <w:szCs w:val="28"/>
          <w:lang w:val="uk-UA"/>
        </w:rPr>
        <w:t xml:space="preserve"> 2022 року</w:t>
      </w:r>
    </w:p>
    <w:p w:rsidR="00B51B7C" w:rsidRDefault="00D42F1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83069D">
        <w:rPr>
          <w:rFonts w:cs="Times New Roman"/>
          <w:sz w:val="28"/>
          <w:szCs w:val="28"/>
          <w:lang w:val="uk-UA"/>
        </w:rPr>
        <w:t>255</w:t>
      </w:r>
      <w:r>
        <w:rPr>
          <w:rFonts w:cs="Times New Roman"/>
          <w:sz w:val="28"/>
          <w:szCs w:val="28"/>
          <w:lang w:val="uk-UA"/>
        </w:rPr>
        <w:t>-у/2022</w:t>
      </w: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51B7C" w:rsidRDefault="00B51B7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65A14" w:rsidRPr="0061732A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C65A14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C65A14" w:rsidRPr="0061732A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C65A14" w:rsidRPr="009B05AD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C65A14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C65A14" w:rsidRPr="0061732A" w:rsidRDefault="00C65A14" w:rsidP="00C65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C65A14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C65A14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C65A14" w:rsidRPr="0061732A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C65A14" w:rsidRPr="0061732A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C65A14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C65A14" w:rsidRDefault="00C65A14" w:rsidP="00C65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C65A14" w:rsidRPr="0061732A" w:rsidRDefault="00C65A14" w:rsidP="00C65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B51B7C" w:rsidRDefault="00B51B7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B7C" w:rsidRDefault="00D42F13" w:rsidP="00C65A14">
      <w:pPr>
        <w:spacing w:line="42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B51B7C" w:rsidP="00C65A1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C65A1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B51B7C" w:rsidRDefault="00B51B7C" w:rsidP="00C65A14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51B7C" w:rsidRDefault="00D42F13" w:rsidP="00C65A14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51B7C" w:rsidRDefault="00B51B7C" w:rsidP="00C65A1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C65A1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51B7C" w:rsidRDefault="00D42F13" w:rsidP="00C65A1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17 червня</w:t>
      </w:r>
      <w:r>
        <w:rPr>
          <w:rFonts w:cs="Times New Roman"/>
          <w:sz w:val="28"/>
          <w:szCs w:val="28"/>
          <w:lang w:val="uk-UA"/>
        </w:rPr>
        <w:br/>
        <w:t>2021 року № 60-у/2021 подовжила до 17 липня 2021 року, від 15 липня 2021 року № 95-у/2021 подовжила до 31 серпня 2021 року, від 31 серпня 2021 року</w:t>
      </w:r>
      <w:r>
        <w:rPr>
          <w:rFonts w:cs="Times New Roman"/>
          <w:sz w:val="28"/>
          <w:szCs w:val="28"/>
          <w:lang w:val="uk-UA"/>
        </w:rPr>
        <w:br/>
        <w:t>№ 116-у/2021 подовжила до 30 вересня 2021 року, від 30 вересня 2021 року</w:t>
      </w:r>
      <w:r>
        <w:rPr>
          <w:rFonts w:cs="Times New Roman"/>
          <w:sz w:val="28"/>
          <w:szCs w:val="28"/>
          <w:lang w:val="uk-UA"/>
        </w:rPr>
        <w:br/>
        <w:t>№ 175-у/2021 подовжила до 28 жовтня 2021 року, від 11 листопада 2021 року</w:t>
      </w:r>
      <w:r>
        <w:rPr>
          <w:rFonts w:cs="Times New Roman"/>
          <w:sz w:val="28"/>
          <w:szCs w:val="28"/>
          <w:lang w:val="uk-UA"/>
        </w:rPr>
        <w:br/>
        <w:t>№ 229-у/2021 подовжила до 14 грудня 2021 року, від 14 грудня 2021 року</w:t>
      </w:r>
      <w:r>
        <w:rPr>
          <w:rFonts w:cs="Times New Roman"/>
          <w:sz w:val="28"/>
          <w:szCs w:val="28"/>
          <w:lang w:val="uk-UA"/>
        </w:rPr>
        <w:br/>
        <w:t>№ 294-у/2021 подовжила до 20 січня 2022 року, від 18 січня 2022 року</w:t>
      </w:r>
      <w:r>
        <w:rPr>
          <w:rFonts w:cs="Times New Roman"/>
          <w:sz w:val="28"/>
          <w:szCs w:val="28"/>
          <w:lang w:val="uk-UA"/>
        </w:rPr>
        <w:br/>
        <w:t xml:space="preserve">№ 26-у/2022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C65A14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C65A14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C65A14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97</w:t>
      </w:r>
      <w:r>
        <w:rPr>
          <w:rFonts w:cs="Times New Roman"/>
          <w:sz w:val="28"/>
          <w:szCs w:val="28"/>
          <w:lang w:val="uk-UA"/>
        </w:rPr>
        <w:t>-у/2022 подовжила до 22 березня 2022 року</w:t>
      </w:r>
      <w:r w:rsidR="00BA2997">
        <w:rPr>
          <w:rFonts w:cs="Times New Roman"/>
          <w:sz w:val="28"/>
          <w:szCs w:val="28"/>
          <w:lang w:val="uk-UA"/>
        </w:rPr>
        <w:t>,</w:t>
      </w:r>
      <w:r w:rsidR="00BA2997" w:rsidRPr="00BA2997">
        <w:t xml:space="preserve"> </w:t>
      </w:r>
      <w:r w:rsidR="00BA2997">
        <w:rPr>
          <w:rFonts w:cs="Times New Roman"/>
          <w:sz w:val="28"/>
          <w:szCs w:val="28"/>
          <w:lang w:val="uk-UA"/>
        </w:rPr>
        <w:t>від 5 квітня 2022 року</w:t>
      </w:r>
      <w:r w:rsidR="00C65A14">
        <w:rPr>
          <w:rFonts w:cs="Times New Roman"/>
          <w:sz w:val="28"/>
          <w:szCs w:val="28"/>
          <w:lang w:val="uk-UA"/>
        </w:rPr>
        <w:br/>
      </w:r>
      <w:r w:rsidR="00BA2997">
        <w:rPr>
          <w:rFonts w:cs="Times New Roman"/>
          <w:sz w:val="28"/>
          <w:szCs w:val="28"/>
          <w:lang w:val="uk-UA"/>
        </w:rPr>
        <w:lastRenderedPageBreak/>
        <w:t>№ 217</w:t>
      </w:r>
      <w:r w:rsidR="00BA2997" w:rsidRPr="00BA2997">
        <w:rPr>
          <w:rFonts w:cs="Times New Roman"/>
          <w:sz w:val="28"/>
          <w:szCs w:val="28"/>
          <w:lang w:val="uk-UA"/>
        </w:rPr>
        <w:t>-у/2022 п</w:t>
      </w:r>
      <w:r w:rsidR="007B185E">
        <w:rPr>
          <w:rFonts w:cs="Times New Roman"/>
          <w:sz w:val="28"/>
          <w:szCs w:val="28"/>
          <w:lang w:val="uk-UA"/>
        </w:rPr>
        <w:t>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D42F13" w:rsidP="00C65A1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18 травня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B51B7C" w:rsidRDefault="00B51B7C" w:rsidP="00C65A14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51B7C" w:rsidRDefault="00D42F13" w:rsidP="00C65A1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51B7C" w:rsidRDefault="00B51B7C" w:rsidP="00C65A1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C65A14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51B7C" w:rsidRDefault="00B51B7C" w:rsidP="00C65A1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51B7C" w:rsidRDefault="00D42F13" w:rsidP="00C65A1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83069D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B51B7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51B7C" w:rsidRDefault="00B51B7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275B4" w:rsidRDefault="004275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275B4" w:rsidRPr="0024079E" w:rsidRDefault="004275B4" w:rsidP="004275B4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51B7C" w:rsidRDefault="004275B4" w:rsidP="004275B4">
      <w:pPr>
        <w:ind w:left="432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51B7C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1E" w:rsidRDefault="0085621E">
      <w:r>
        <w:separator/>
      </w:r>
    </w:p>
  </w:endnote>
  <w:endnote w:type="continuationSeparator" w:id="0">
    <w:p w:rsidR="0085621E" w:rsidRDefault="0085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14" w:rsidRPr="00C65A14" w:rsidRDefault="00C65A14">
    <w:pPr>
      <w:pStyle w:val="a8"/>
      <w:rPr>
        <w:sz w:val="10"/>
        <w:szCs w:val="10"/>
      </w:rPr>
    </w:pPr>
    <w:r w:rsidRPr="00C65A14">
      <w:rPr>
        <w:sz w:val="10"/>
        <w:szCs w:val="10"/>
      </w:rPr>
      <w:fldChar w:fldCharType="begin"/>
    </w:r>
    <w:r w:rsidRPr="00C65A1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65A14">
      <w:rPr>
        <w:sz w:val="10"/>
        <w:szCs w:val="10"/>
      </w:rPr>
      <w:fldChar w:fldCharType="separate"/>
    </w:r>
    <w:r w:rsidR="004275B4">
      <w:rPr>
        <w:rFonts w:cs="Arial Unicode MS"/>
        <w:noProof/>
        <w:sz w:val="10"/>
        <w:szCs w:val="10"/>
        <w:lang w:val="uk-UA"/>
      </w:rPr>
      <w:t>G:\2022\Suddi\Uhvala VP\265.docx</w:t>
    </w:r>
    <w:r w:rsidRPr="00C65A1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14" w:rsidRPr="00C65A14" w:rsidRDefault="00C65A14">
    <w:pPr>
      <w:pStyle w:val="a8"/>
      <w:rPr>
        <w:sz w:val="10"/>
        <w:szCs w:val="10"/>
      </w:rPr>
    </w:pPr>
    <w:r w:rsidRPr="00C65A14">
      <w:rPr>
        <w:sz w:val="10"/>
        <w:szCs w:val="10"/>
      </w:rPr>
      <w:fldChar w:fldCharType="begin"/>
    </w:r>
    <w:r w:rsidRPr="00C65A1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65A14">
      <w:rPr>
        <w:sz w:val="10"/>
        <w:szCs w:val="10"/>
      </w:rPr>
      <w:fldChar w:fldCharType="separate"/>
    </w:r>
    <w:r w:rsidR="004275B4">
      <w:rPr>
        <w:rFonts w:cs="Arial Unicode MS"/>
        <w:noProof/>
        <w:sz w:val="10"/>
        <w:szCs w:val="10"/>
        <w:lang w:val="uk-UA"/>
      </w:rPr>
      <w:t>G:\2022\Suddi\Uhvala VP\265.docx</w:t>
    </w:r>
    <w:r w:rsidRPr="00C65A1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1E" w:rsidRDefault="0085621E">
      <w:r>
        <w:separator/>
      </w:r>
    </w:p>
  </w:footnote>
  <w:footnote w:type="continuationSeparator" w:id="0">
    <w:p w:rsidR="0085621E" w:rsidRDefault="0085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7C" w:rsidRDefault="00D42F13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275B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7C"/>
    <w:rsid w:val="00090D3A"/>
    <w:rsid w:val="00250487"/>
    <w:rsid w:val="00334F70"/>
    <w:rsid w:val="004275B4"/>
    <w:rsid w:val="0043565C"/>
    <w:rsid w:val="007B185E"/>
    <w:rsid w:val="0083069D"/>
    <w:rsid w:val="0085621E"/>
    <w:rsid w:val="008C5DA1"/>
    <w:rsid w:val="00A05CA0"/>
    <w:rsid w:val="00B4481F"/>
    <w:rsid w:val="00B51B7C"/>
    <w:rsid w:val="00BA2997"/>
    <w:rsid w:val="00C65A14"/>
    <w:rsid w:val="00CF5BED"/>
    <w:rsid w:val="00D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E5B1"/>
  <w15:docId w15:val="{E628733F-32AB-4EFF-AE0D-B0E5E25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9063-F0D4-4E85-8A20-124CE7BA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2835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4</cp:revision>
  <cp:lastPrinted>2022-05-25T11:28:00Z</cp:lastPrinted>
  <dcterms:created xsi:type="dcterms:W3CDTF">2022-05-17T13:28:00Z</dcterms:created>
  <dcterms:modified xsi:type="dcterms:W3CDTF">2022-05-25T11:28:00Z</dcterms:modified>
  <dc:language>pl-PL</dc:language>
</cp:coreProperties>
</file>