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DF" w:rsidRPr="00D80782" w:rsidRDefault="00534DDF" w:rsidP="000A5096">
      <w:pPr>
        <w:ind w:right="50"/>
        <w:jc w:val="both"/>
        <w:rPr>
          <w:b/>
          <w:bCs/>
          <w:sz w:val="28"/>
          <w:szCs w:val="28"/>
          <w:lang w:val="en-GB"/>
        </w:rPr>
      </w:pPr>
      <w:r w:rsidRPr="00D80782">
        <w:rPr>
          <w:b/>
          <w:bCs/>
          <w:sz w:val="28"/>
          <w:szCs w:val="28"/>
          <w:lang w:val="en-GB"/>
        </w:rPr>
        <w:t xml:space="preserve">Summary to the Decision of the Second Senate of the Constitutional Court </w:t>
      </w:r>
      <w:r w:rsidR="00D80782" w:rsidRPr="00D80782">
        <w:rPr>
          <w:b/>
          <w:bCs/>
          <w:sz w:val="28"/>
          <w:szCs w:val="28"/>
          <w:lang w:val="en-GB"/>
        </w:rPr>
        <w:t>No. 1-</w:t>
      </w:r>
      <w:r w:rsidR="00D80782">
        <w:rPr>
          <w:b/>
          <w:bCs/>
          <w:sz w:val="28"/>
          <w:szCs w:val="28"/>
          <w:lang w:val="en-GB"/>
        </w:rPr>
        <w:t>r</w:t>
      </w:r>
      <w:r w:rsidR="00D80782" w:rsidRPr="00D80782">
        <w:rPr>
          <w:b/>
          <w:bCs/>
          <w:sz w:val="28"/>
          <w:szCs w:val="28"/>
          <w:lang w:val="en-GB"/>
        </w:rPr>
        <w:t xml:space="preserve">(ІІ)/2023 </w:t>
      </w:r>
      <w:r w:rsidRPr="00D80782">
        <w:rPr>
          <w:b/>
          <w:bCs/>
          <w:sz w:val="28"/>
          <w:szCs w:val="28"/>
          <w:lang w:val="en-GB"/>
        </w:rPr>
        <w:t xml:space="preserve">dated March 1, 2023 in the case upon the constitutional complaint of Serhii Vasylenko regarding the conformity of </w:t>
      </w:r>
      <w:r w:rsidR="00F64852">
        <w:rPr>
          <w:b/>
          <w:bCs/>
          <w:sz w:val="28"/>
          <w:szCs w:val="28"/>
          <w:lang w:val="en-GB"/>
        </w:rPr>
        <w:t>c</w:t>
      </w:r>
      <w:r w:rsidR="008C2E65" w:rsidRPr="00D80782">
        <w:rPr>
          <w:b/>
          <w:bCs/>
          <w:sz w:val="28"/>
          <w:szCs w:val="28"/>
          <w:lang w:val="en-GB"/>
        </w:rPr>
        <w:t>lause</w:t>
      </w:r>
      <w:r w:rsidRPr="00D80782">
        <w:rPr>
          <w:b/>
          <w:bCs/>
          <w:sz w:val="28"/>
          <w:szCs w:val="28"/>
          <w:lang w:val="en-GB"/>
        </w:rPr>
        <w:t xml:space="preserve"> 6 of Section II “Final and Transitional Provisions” of the Law “</w:t>
      </w:r>
      <w:r w:rsidR="008C2E65" w:rsidRPr="00D80782">
        <w:rPr>
          <w:b/>
          <w:bCs/>
          <w:sz w:val="28"/>
          <w:szCs w:val="28"/>
          <w:lang w:val="en-GB"/>
        </w:rPr>
        <w:t>On Amending Some Legislative Acts of Ukraine on Priority Measures for the Reform of the Prosecution Bodies</w:t>
      </w:r>
      <w:r w:rsidR="007A31A7" w:rsidRPr="00D80782">
        <w:rPr>
          <w:b/>
          <w:bCs/>
          <w:sz w:val="28"/>
          <w:szCs w:val="28"/>
          <w:lang w:val="en-GB"/>
        </w:rPr>
        <w:t>”</w:t>
      </w:r>
      <w:r w:rsidRPr="00D80782">
        <w:rPr>
          <w:b/>
          <w:bCs/>
          <w:sz w:val="28"/>
          <w:szCs w:val="28"/>
          <w:lang w:val="en-GB"/>
        </w:rPr>
        <w:t xml:space="preserve"> with the Constitution (constitutionality) (regarding guarantees of the prosecutor's independence)</w:t>
      </w:r>
    </w:p>
    <w:p w:rsidR="00534DDF" w:rsidRPr="00D80782" w:rsidRDefault="00534DDF" w:rsidP="000A5096">
      <w:pPr>
        <w:ind w:right="50"/>
        <w:jc w:val="both"/>
        <w:rPr>
          <w:b/>
          <w:bCs/>
          <w:sz w:val="28"/>
          <w:szCs w:val="28"/>
          <w:lang w:val="en-GB"/>
        </w:rPr>
      </w:pPr>
    </w:p>
    <w:p w:rsidR="008F2657" w:rsidRPr="00D80782" w:rsidRDefault="008F2657" w:rsidP="00CE7204">
      <w:pPr>
        <w:pStyle w:val="p1"/>
        <w:spacing w:before="0" w:after="0"/>
        <w:ind w:firstLine="851"/>
        <w:jc w:val="both"/>
        <w:rPr>
          <w:rFonts w:ascii="Times New Roman" w:hAnsi="Times New Roman" w:cs="Times New Roman"/>
          <w:b w:val="0"/>
          <w:bCs w:val="0"/>
          <w:color w:val="auto"/>
          <w:sz w:val="28"/>
          <w:szCs w:val="28"/>
          <w:lang w:val="en-GB"/>
        </w:rPr>
      </w:pPr>
    </w:p>
    <w:p w:rsidR="00F42DD7" w:rsidRPr="00D80782" w:rsidRDefault="00F42DD7" w:rsidP="008E4299">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Subject of the right to constitutional complaint – S. Vasylenko – appealed to the Constitutional Court to </w:t>
      </w:r>
      <w:r w:rsidR="00D83E7B" w:rsidRPr="00D80782">
        <w:rPr>
          <w:rFonts w:ascii="Times New Roman" w:hAnsi="Times New Roman" w:cs="Times New Roman"/>
          <w:sz w:val="28"/>
          <w:szCs w:val="28"/>
          <w:lang w:val="en-GB"/>
        </w:rPr>
        <w:t>examine</w:t>
      </w:r>
      <w:r w:rsidRPr="00D80782">
        <w:rPr>
          <w:rFonts w:ascii="Times New Roman" w:hAnsi="Times New Roman" w:cs="Times New Roman"/>
          <w:sz w:val="28"/>
          <w:szCs w:val="28"/>
          <w:lang w:val="en-GB"/>
        </w:rPr>
        <w:t xml:space="preserve"> the conformity of </w:t>
      </w:r>
      <w:r w:rsidR="00DD746F">
        <w:rPr>
          <w:rFonts w:ascii="Times New Roman" w:hAnsi="Times New Roman" w:cs="Times New Roman"/>
          <w:sz w:val="28"/>
          <w:szCs w:val="28"/>
          <w:lang w:val="en-GB"/>
        </w:rPr>
        <w:t>c</w:t>
      </w:r>
      <w:r w:rsidRPr="00D80782">
        <w:rPr>
          <w:rFonts w:ascii="Times New Roman" w:hAnsi="Times New Roman" w:cs="Times New Roman"/>
          <w:sz w:val="28"/>
          <w:szCs w:val="28"/>
          <w:lang w:val="en-GB"/>
        </w:rPr>
        <w:t xml:space="preserve">lause 6 of Section II “Final and Transitional Provisions” of the Law of Ukraine “On Amending Some Legislative Acts of Ukraine on Priority Measures for the Reform of the Prosecution Bodies” dated September 19, 2019 No. 113-IX (hereinafter referred to as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 113”</w:t>
      </w:r>
      <w:r w:rsidR="00CA70EB"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 xml:space="preserve"> </w:t>
      </w:r>
      <w:r w:rsidR="00CA70EB" w:rsidRPr="00D80782">
        <w:rPr>
          <w:rFonts w:ascii="Times New Roman" w:hAnsi="Times New Roman" w:cs="Times New Roman"/>
          <w:sz w:val="28"/>
          <w:szCs w:val="28"/>
          <w:lang w:val="en-GB"/>
        </w:rPr>
        <w:t xml:space="preserve">with the Constitution (constitutionality), </w:t>
      </w:r>
      <w:r w:rsidR="00BA363F" w:rsidRPr="00D80782">
        <w:rPr>
          <w:rFonts w:ascii="Times New Roman" w:hAnsi="Times New Roman" w:cs="Times New Roman"/>
          <w:sz w:val="28"/>
          <w:szCs w:val="28"/>
          <w:lang w:val="en-GB"/>
        </w:rPr>
        <w:t>whereby</w:t>
      </w:r>
      <w:r w:rsidRPr="00D80782">
        <w:rPr>
          <w:rFonts w:ascii="Times New Roman" w:hAnsi="Times New Roman" w:cs="Times New Roman"/>
          <w:sz w:val="28"/>
          <w:szCs w:val="28"/>
          <w:lang w:val="en-GB"/>
        </w:rPr>
        <w:t xml:space="preserve"> </w:t>
      </w:r>
      <w:r w:rsidR="00BA363F" w:rsidRPr="00D80782">
        <w:rPr>
          <w:rFonts w:ascii="Times New Roman" w:hAnsi="Times New Roman" w:cs="Times New Roman"/>
          <w:sz w:val="28"/>
          <w:szCs w:val="28"/>
          <w:lang w:val="en-GB"/>
        </w:rPr>
        <w:t>“</w:t>
      </w:r>
      <w:r w:rsidR="0021386F" w:rsidRPr="00D80782">
        <w:rPr>
          <w:rFonts w:ascii="Times New Roman" w:hAnsi="Times New Roman" w:cs="Times New Roman"/>
          <w:sz w:val="28"/>
          <w:szCs w:val="28"/>
          <w:lang w:val="en-GB"/>
        </w:rPr>
        <w:t>from the date of entry into force of this Law, all prosecutors of the Prosecutor’s General Office of Ukraine, regional prosecution offices, local prosecution offices, military prosecution offices shall be deemed to have been personally warned in due manner of possible future dismissal from office on the basis of Article 51.1.9 of the Law of Ukraine "On the Prosecution Office"”</w:t>
      </w:r>
      <w:r w:rsidRPr="00D80782">
        <w:rPr>
          <w:rFonts w:ascii="Times New Roman" w:hAnsi="Times New Roman" w:cs="Times New Roman"/>
          <w:sz w:val="28"/>
          <w:szCs w:val="28"/>
          <w:lang w:val="en-GB"/>
        </w:rPr>
        <w:t>.</w:t>
      </w:r>
    </w:p>
    <w:p w:rsidR="00F42DD7" w:rsidRPr="00D80782" w:rsidRDefault="00E42D7F" w:rsidP="008E4299">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The constitutional order in Ukraine is based on a number of constitutional principles, in particular the principles of democracy, the rule of law, and the separation of state power.</w:t>
      </w:r>
    </w:p>
    <w:p w:rsidR="00F42DD7" w:rsidRPr="00D80782" w:rsidRDefault="00BA01A6" w:rsidP="008E4299">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Pursuant to Article 131¹ of the Constitution, the </w:t>
      </w:r>
      <w:r w:rsidR="00F23559">
        <w:rPr>
          <w:rFonts w:ascii="Times New Roman" w:hAnsi="Times New Roman" w:cs="Times New Roman"/>
          <w:sz w:val="28"/>
          <w:szCs w:val="28"/>
          <w:lang w:val="en-GB"/>
        </w:rPr>
        <w:t xml:space="preserve">public </w:t>
      </w:r>
      <w:r w:rsidRPr="00D80782">
        <w:rPr>
          <w:rFonts w:ascii="Times New Roman" w:hAnsi="Times New Roman" w:cs="Times New Roman"/>
          <w:sz w:val="28"/>
          <w:szCs w:val="28"/>
          <w:lang w:val="en-GB"/>
        </w:rPr>
        <w:t xml:space="preserve">prosecution office operates in Ukraine, the functions of which are </w:t>
      </w:r>
      <w:r w:rsidR="004B41D1">
        <w:rPr>
          <w:rFonts w:ascii="Times New Roman" w:hAnsi="Times New Roman" w:cs="Times New Roman"/>
          <w:sz w:val="28"/>
          <w:szCs w:val="28"/>
          <w:lang w:val="en-GB"/>
        </w:rPr>
        <w:t>established</w:t>
      </w:r>
      <w:r w:rsidRPr="00D80782">
        <w:rPr>
          <w:rFonts w:ascii="Times New Roman" w:hAnsi="Times New Roman" w:cs="Times New Roman"/>
          <w:sz w:val="28"/>
          <w:szCs w:val="28"/>
          <w:lang w:val="en-GB"/>
        </w:rPr>
        <w:t xml:space="preserve"> in th</w:t>
      </w:r>
      <w:r w:rsidR="00216089">
        <w:rPr>
          <w:rFonts w:ascii="Times New Roman" w:hAnsi="Times New Roman" w:cs="Times New Roman"/>
          <w:sz w:val="28"/>
          <w:szCs w:val="28"/>
          <w:lang w:val="en-GB"/>
        </w:rPr>
        <w:t>e</w:t>
      </w:r>
      <w:r w:rsidRPr="00D80782">
        <w:rPr>
          <w:rFonts w:ascii="Times New Roman" w:hAnsi="Times New Roman" w:cs="Times New Roman"/>
          <w:sz w:val="28"/>
          <w:szCs w:val="28"/>
          <w:lang w:val="en-GB"/>
        </w:rPr>
        <w:t xml:space="preserve"> same article.</w:t>
      </w:r>
    </w:p>
    <w:p w:rsidR="00BA01A6" w:rsidRPr="00D80782" w:rsidRDefault="00BA01A6" w:rsidP="00AF5310">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The Constitutional Court states that since September 30, 2016, the prosecution office is institutionally an element of the general system of justice, which requires the state to ensure the independence of the prosecut</w:t>
      </w:r>
      <w:r w:rsidR="0039154C" w:rsidRPr="00D80782">
        <w:rPr>
          <w:rFonts w:ascii="Times New Roman" w:hAnsi="Times New Roman" w:cs="Times New Roman"/>
          <w:sz w:val="28"/>
          <w:szCs w:val="28"/>
          <w:lang w:val="en-GB"/>
        </w:rPr>
        <w:t>or’s</w:t>
      </w:r>
      <w:r w:rsidRPr="00D80782">
        <w:rPr>
          <w:rFonts w:ascii="Times New Roman" w:hAnsi="Times New Roman" w:cs="Times New Roman"/>
          <w:sz w:val="28"/>
          <w:szCs w:val="28"/>
          <w:lang w:val="en-GB"/>
        </w:rPr>
        <w:t xml:space="preserve"> status.</w:t>
      </w:r>
    </w:p>
    <w:p w:rsidR="00A16FDC" w:rsidRPr="00D80782" w:rsidRDefault="00906BD6" w:rsidP="00C75DF8">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The state's provision of adequate guarantees against the illegal dismissal of a prosecutor, whose activities are related to the functioning of the justice system, is not only an element of the prosecutor's status, but also one of the prerequisites for the </w:t>
      </w:r>
      <w:r w:rsidR="00F72ED1" w:rsidRPr="00D80782">
        <w:rPr>
          <w:rFonts w:ascii="Times New Roman" w:hAnsi="Times New Roman" w:cs="Times New Roman"/>
          <w:sz w:val="28"/>
          <w:szCs w:val="28"/>
          <w:lang w:val="en-GB"/>
        </w:rPr>
        <w:t>implementation</w:t>
      </w:r>
      <w:r w:rsidRPr="00D80782">
        <w:rPr>
          <w:rFonts w:ascii="Times New Roman" w:hAnsi="Times New Roman" w:cs="Times New Roman"/>
          <w:sz w:val="28"/>
          <w:szCs w:val="28"/>
          <w:lang w:val="en-GB"/>
        </w:rPr>
        <w:t xml:space="preserve"> of the constitutional right to judicial protection. Therefore, the dismissal of any prosecutor is possible only in the manner and on the grounds determined by the law, the norms of which must meet the requirements of the rule of law, must be aimed at achieving a legitimate goal, and the means used for dismissal must be reasonable (proportional).</w:t>
      </w:r>
    </w:p>
    <w:p w:rsidR="00906BD6" w:rsidRPr="00D80782" w:rsidRDefault="00FE4F77" w:rsidP="009244AA">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According to the contested provision of Law No. 113, </w:t>
      </w:r>
      <w:r w:rsidR="00B56663"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 xml:space="preserve">from the day this Law enters into force, all prosecutors &lt; ... &gt; </w:t>
      </w:r>
      <w:r w:rsidR="002753BE" w:rsidRPr="00D80782">
        <w:rPr>
          <w:rFonts w:ascii="Times New Roman" w:hAnsi="Times New Roman" w:cs="Times New Roman"/>
          <w:sz w:val="28"/>
          <w:szCs w:val="28"/>
          <w:lang w:val="en-GB"/>
        </w:rPr>
        <w:t>shall be</w:t>
      </w:r>
      <w:r w:rsidRPr="00D80782">
        <w:rPr>
          <w:rFonts w:ascii="Times New Roman" w:hAnsi="Times New Roman" w:cs="Times New Roman"/>
          <w:sz w:val="28"/>
          <w:szCs w:val="28"/>
          <w:lang w:val="en-GB"/>
        </w:rPr>
        <w:t xml:space="preserve"> deemed to have been personally warned in due </w:t>
      </w:r>
      <w:r w:rsidR="001B0AE8" w:rsidRPr="00D80782">
        <w:rPr>
          <w:rFonts w:ascii="Times New Roman" w:hAnsi="Times New Roman" w:cs="Times New Roman"/>
          <w:sz w:val="28"/>
          <w:szCs w:val="28"/>
          <w:lang w:val="en-GB"/>
        </w:rPr>
        <w:t>manner</w:t>
      </w:r>
      <w:r w:rsidRPr="00D80782">
        <w:rPr>
          <w:rFonts w:ascii="Times New Roman" w:hAnsi="Times New Roman" w:cs="Times New Roman"/>
          <w:sz w:val="28"/>
          <w:szCs w:val="28"/>
          <w:lang w:val="en-GB"/>
        </w:rPr>
        <w:t xml:space="preserve"> </w:t>
      </w:r>
      <w:r w:rsidR="001B0AE8" w:rsidRPr="00D80782">
        <w:rPr>
          <w:rFonts w:ascii="Times New Roman" w:hAnsi="Times New Roman" w:cs="Times New Roman"/>
          <w:sz w:val="28"/>
          <w:szCs w:val="28"/>
          <w:lang w:val="en-GB"/>
        </w:rPr>
        <w:t>of</w:t>
      </w:r>
      <w:r w:rsidRPr="00D80782">
        <w:rPr>
          <w:rFonts w:ascii="Times New Roman" w:hAnsi="Times New Roman" w:cs="Times New Roman"/>
          <w:sz w:val="28"/>
          <w:szCs w:val="28"/>
          <w:lang w:val="en-GB"/>
        </w:rPr>
        <w:t xml:space="preserve"> possible future dismissal from their </w:t>
      </w:r>
      <w:r w:rsidR="001B0AE8" w:rsidRPr="00D80782">
        <w:rPr>
          <w:rFonts w:ascii="Times New Roman" w:hAnsi="Times New Roman" w:cs="Times New Roman"/>
          <w:sz w:val="28"/>
          <w:szCs w:val="28"/>
          <w:lang w:val="en-GB"/>
        </w:rPr>
        <w:t>office</w:t>
      </w:r>
      <w:r w:rsidRPr="00D80782">
        <w:rPr>
          <w:rFonts w:ascii="Times New Roman" w:hAnsi="Times New Roman" w:cs="Times New Roman"/>
          <w:sz w:val="28"/>
          <w:szCs w:val="28"/>
          <w:lang w:val="en-GB"/>
        </w:rPr>
        <w:t xml:space="preserve"> &lt; ... &gt;</w:t>
      </w:r>
      <w:r w:rsidR="00B56663"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w:t>
      </w:r>
    </w:p>
    <w:p w:rsidR="00726AB5" w:rsidRPr="00D80782" w:rsidRDefault="00CF02EB" w:rsidP="009244AA">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Th</w:t>
      </w:r>
      <w:r w:rsidR="00F6310A">
        <w:rPr>
          <w:rFonts w:ascii="Times New Roman" w:hAnsi="Times New Roman" w:cs="Times New Roman"/>
          <w:sz w:val="28"/>
          <w:szCs w:val="28"/>
          <w:lang w:val="en-GB"/>
        </w:rPr>
        <w:t>us</w:t>
      </w:r>
      <w:r w:rsidRPr="00D80782">
        <w:rPr>
          <w:rFonts w:ascii="Times New Roman" w:hAnsi="Times New Roman" w:cs="Times New Roman"/>
          <w:sz w:val="28"/>
          <w:szCs w:val="28"/>
          <w:lang w:val="en-GB"/>
        </w:rPr>
        <w:t xml:space="preserve">,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 113 is one of the components of the special procedure for the dismissal of the subject of the right to a constitutional complaint and other prosecutors from their offices.</w:t>
      </w:r>
    </w:p>
    <w:p w:rsidR="001B0AE8" w:rsidRPr="00D80782" w:rsidRDefault="00C63A1D" w:rsidP="009244AA">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lastRenderedPageBreak/>
        <w:t>Given the modern institutional place of the prosecution bodies in the general system of justice and the function of the prosecutor in the mechanism of protection of constitutional human and citizen’s rights and freedoms, the Constitutional Court considers that the actions and decisions of the legislative body must comply with constitutional principles, in particular the principle of separation of state power.</w:t>
      </w:r>
      <w:r w:rsidRPr="00D80782">
        <w:rPr>
          <w:lang w:val="en-GB"/>
        </w:rPr>
        <w:t xml:space="preserve"> </w:t>
      </w:r>
      <w:r w:rsidRPr="00D80782">
        <w:rPr>
          <w:rFonts w:ascii="Times New Roman" w:hAnsi="Times New Roman" w:cs="Times New Roman"/>
          <w:sz w:val="28"/>
          <w:szCs w:val="28"/>
          <w:lang w:val="en-GB"/>
        </w:rPr>
        <w:t>Therefore, the Verkhovna Rada may interfere in the organi</w:t>
      </w:r>
      <w:r w:rsidR="00E210B0">
        <w:rPr>
          <w:rFonts w:ascii="Times New Roman" w:hAnsi="Times New Roman" w:cs="Times New Roman"/>
          <w:sz w:val="28"/>
          <w:szCs w:val="28"/>
          <w:lang w:val="en-GB"/>
        </w:rPr>
        <w:t>s</w:t>
      </w:r>
      <w:r w:rsidRPr="00D80782">
        <w:rPr>
          <w:rFonts w:ascii="Times New Roman" w:hAnsi="Times New Roman" w:cs="Times New Roman"/>
          <w:sz w:val="28"/>
          <w:szCs w:val="28"/>
          <w:lang w:val="en-GB"/>
        </w:rPr>
        <w:t>ation and activities of bodies and officials of the general justice system only on the basis, within the limits of the powers and in the manner determined by the Constitution,</w:t>
      </w:r>
      <w:r w:rsidRPr="00D80782">
        <w:rPr>
          <w:lang w:val="en-GB"/>
        </w:rPr>
        <w:t xml:space="preserve"> </w:t>
      </w:r>
      <w:r w:rsidRPr="00D80782">
        <w:rPr>
          <w:rFonts w:ascii="Times New Roman" w:hAnsi="Times New Roman" w:cs="Times New Roman"/>
          <w:sz w:val="28"/>
          <w:szCs w:val="28"/>
          <w:lang w:val="en-GB"/>
        </w:rPr>
        <w:t>taking into account the need to observe the prosecutor's independence, which is one of the guarantees of his/her impartial and effective exercise of his/her powers.</w:t>
      </w:r>
    </w:p>
    <w:p w:rsidR="00B5150B" w:rsidRPr="00D80782" w:rsidRDefault="00B5150B" w:rsidP="008E4299">
      <w:pPr>
        <w:pStyle w:val="HTML"/>
        <w:ind w:firstLine="851"/>
        <w:jc w:val="both"/>
        <w:rPr>
          <w:rFonts w:ascii="Times New Roman" w:hAnsi="Times New Roman" w:cs="Times New Roman"/>
          <w:sz w:val="28"/>
          <w:szCs w:val="28"/>
          <w:highlight w:val="yellow"/>
          <w:lang w:val="en-GB"/>
        </w:rPr>
      </w:pPr>
      <w:r w:rsidRPr="00D80782">
        <w:rPr>
          <w:rFonts w:ascii="Times New Roman" w:hAnsi="Times New Roman" w:cs="Times New Roman"/>
          <w:sz w:val="28"/>
          <w:szCs w:val="28"/>
          <w:lang w:val="en-GB"/>
        </w:rPr>
        <w:t xml:space="preserve">Since the Constitution of Ukraine does not contain a provision empowering the Parliament to adopt law enforcement acts in the procedure of dismissal of S. Vasylenko, another specific prosecutor or all prosecutors from their </w:t>
      </w:r>
      <w:r w:rsidR="002708C0" w:rsidRPr="00D80782">
        <w:rPr>
          <w:rFonts w:ascii="Times New Roman" w:hAnsi="Times New Roman" w:cs="Times New Roman"/>
          <w:sz w:val="28"/>
          <w:szCs w:val="28"/>
          <w:lang w:val="en-GB"/>
        </w:rPr>
        <w:t>offices</w:t>
      </w:r>
      <w:r w:rsidRPr="00D80782">
        <w:rPr>
          <w:rFonts w:ascii="Times New Roman" w:hAnsi="Times New Roman" w:cs="Times New Roman"/>
          <w:sz w:val="28"/>
          <w:szCs w:val="28"/>
          <w:lang w:val="en-GB"/>
        </w:rPr>
        <w:t>, in particular by means of personal warning of the prosecutor by a law of possible future dismissal, there are grounds to believe that the challenged provision of the Law No.</w:t>
      </w:r>
      <w:r w:rsidR="00431FFD">
        <w:rPr>
          <w:rFonts w:ascii="Times New Roman" w:hAnsi="Times New Roman" w:cs="Times New Roman"/>
          <w:sz w:val="28"/>
          <w:szCs w:val="28"/>
          <w:lang w:val="en-GB"/>
        </w:rPr>
        <w:t> </w:t>
      </w:r>
      <w:r w:rsidRPr="00D80782">
        <w:rPr>
          <w:rFonts w:ascii="Times New Roman" w:hAnsi="Times New Roman" w:cs="Times New Roman"/>
          <w:sz w:val="28"/>
          <w:szCs w:val="28"/>
          <w:lang w:val="en-GB"/>
        </w:rPr>
        <w:t>113 was adopted by the Verkhovna Rada of Ukraine beyond its constitutional powers.</w:t>
      </w:r>
    </w:p>
    <w:p w:rsidR="00B5150B" w:rsidRPr="00D80782" w:rsidRDefault="005128FD" w:rsidP="008E4299">
      <w:pPr>
        <w:pStyle w:val="HTML"/>
        <w:ind w:firstLine="851"/>
        <w:jc w:val="both"/>
        <w:rPr>
          <w:rFonts w:ascii="Times New Roman" w:hAnsi="Times New Roman" w:cs="Times New Roman"/>
          <w:sz w:val="28"/>
          <w:szCs w:val="28"/>
          <w:highlight w:val="yellow"/>
          <w:lang w:val="en-GB"/>
        </w:rPr>
      </w:pPr>
      <w:r w:rsidRPr="00D80782">
        <w:rPr>
          <w:rFonts w:ascii="Times New Roman" w:hAnsi="Times New Roman" w:cs="Times New Roman"/>
          <w:sz w:val="28"/>
          <w:szCs w:val="28"/>
          <w:lang w:val="en-GB"/>
        </w:rPr>
        <w:t xml:space="preserve">The disputed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 113 should not only be accessible to participants in social relations, but also correspond to the principle of the rule of law, in particular such a component of this principle as legal certainty, which consists, among other things, in the clarity and comprehensibility of legal norms, predictability of their content and possible consequences of the application or other form of implementation of these legal norms.</w:t>
      </w:r>
    </w:p>
    <w:p w:rsidR="00B5150B" w:rsidRPr="00D80782" w:rsidRDefault="005128FD" w:rsidP="000F2927">
      <w:pPr>
        <w:pStyle w:val="HTML"/>
        <w:ind w:firstLine="851"/>
        <w:jc w:val="both"/>
        <w:rPr>
          <w:rFonts w:ascii="Times New Roman" w:hAnsi="Times New Roman" w:cs="Times New Roman"/>
          <w:sz w:val="28"/>
          <w:szCs w:val="28"/>
          <w:highlight w:val="yellow"/>
          <w:lang w:val="en-GB"/>
        </w:rPr>
      </w:pPr>
      <w:r w:rsidRPr="00D80782">
        <w:rPr>
          <w:rFonts w:ascii="Times New Roman" w:hAnsi="Times New Roman" w:cs="Times New Roman"/>
          <w:sz w:val="28"/>
          <w:szCs w:val="28"/>
          <w:lang w:val="en-GB"/>
        </w:rPr>
        <w:t xml:space="preserve">Paragraph </w:t>
      </w:r>
      <w:r w:rsidR="0065407A" w:rsidRPr="00D80782">
        <w:rPr>
          <w:rFonts w:ascii="Times New Roman" w:hAnsi="Times New Roman" w:cs="Times New Roman"/>
          <w:sz w:val="28"/>
          <w:szCs w:val="28"/>
          <w:lang w:val="en-GB"/>
        </w:rPr>
        <w:t>1</w:t>
      </w:r>
      <w:r w:rsidR="00DD746F">
        <w:rPr>
          <w:rFonts w:ascii="Times New Roman" w:hAnsi="Times New Roman" w:cs="Times New Roman"/>
          <w:sz w:val="28"/>
          <w:szCs w:val="28"/>
          <w:lang w:val="en-GB"/>
        </w:rPr>
        <w:t xml:space="preserve"> of c</w:t>
      </w:r>
      <w:r w:rsidRPr="00D80782">
        <w:rPr>
          <w:rFonts w:ascii="Times New Roman" w:hAnsi="Times New Roman" w:cs="Times New Roman"/>
          <w:sz w:val="28"/>
          <w:szCs w:val="28"/>
          <w:lang w:val="en-GB"/>
        </w:rPr>
        <w:t>lause 7 of Section II “Final and Transitional Provisions” of</w:t>
      </w:r>
      <w:r w:rsidR="00DD746F">
        <w:rPr>
          <w:rFonts w:ascii="Times New Roman" w:hAnsi="Times New Roman" w:cs="Times New Roman"/>
          <w:sz w:val="28"/>
          <w:szCs w:val="28"/>
          <w:lang w:val="en-GB"/>
        </w:rPr>
        <w:t xml:space="preserve"> the</w:t>
      </w:r>
      <w:r w:rsidRPr="00D80782">
        <w:rPr>
          <w:rFonts w:ascii="Times New Roman" w:hAnsi="Times New Roman" w:cs="Times New Roman"/>
          <w:sz w:val="28"/>
          <w:szCs w:val="28"/>
          <w:lang w:val="en-GB"/>
        </w:rPr>
        <w:t xml:space="preserve"> Law No.</w:t>
      </w:r>
      <w:r w:rsidR="000F2927">
        <w:rPr>
          <w:rFonts w:ascii="Times New Roman" w:hAnsi="Times New Roman" w:cs="Times New Roman"/>
          <w:sz w:val="28"/>
          <w:szCs w:val="28"/>
          <w:lang w:val="en-GB"/>
        </w:rPr>
        <w:t> </w:t>
      </w:r>
      <w:r w:rsidRPr="00D80782">
        <w:rPr>
          <w:rFonts w:ascii="Times New Roman" w:hAnsi="Times New Roman" w:cs="Times New Roman"/>
          <w:sz w:val="28"/>
          <w:szCs w:val="28"/>
          <w:lang w:val="en-GB"/>
        </w:rPr>
        <w:t xml:space="preserve">113 establishes the procedure for employment of prosecutors for </w:t>
      </w:r>
      <w:r w:rsidR="009C3AFE" w:rsidRPr="00D80782">
        <w:rPr>
          <w:rFonts w:ascii="Times New Roman" w:hAnsi="Times New Roman" w:cs="Times New Roman"/>
          <w:sz w:val="28"/>
          <w:szCs w:val="28"/>
          <w:lang w:val="en-GB"/>
        </w:rPr>
        <w:t>offices</w:t>
      </w:r>
      <w:r w:rsidRPr="00D80782">
        <w:rPr>
          <w:rFonts w:ascii="Times New Roman" w:hAnsi="Times New Roman" w:cs="Times New Roman"/>
          <w:sz w:val="28"/>
          <w:szCs w:val="28"/>
          <w:lang w:val="en-GB"/>
        </w:rPr>
        <w:t xml:space="preserve"> in the General Prosecutor's Office, regional prosecution offices, district prosecution offices and indicates the availability of offices that can be replaced by persons who are </w:t>
      </w:r>
      <w:r w:rsidR="00732F4E" w:rsidRPr="00D80782">
        <w:rPr>
          <w:rFonts w:ascii="Times New Roman" w:hAnsi="Times New Roman" w:cs="Times New Roman"/>
          <w:sz w:val="28"/>
          <w:szCs w:val="28"/>
          <w:lang w:val="en-GB"/>
        </w:rPr>
        <w:t>warned</w:t>
      </w:r>
      <w:r w:rsidRPr="00D80782">
        <w:rPr>
          <w:rFonts w:ascii="Times New Roman" w:hAnsi="Times New Roman" w:cs="Times New Roman"/>
          <w:sz w:val="28"/>
          <w:szCs w:val="28"/>
          <w:lang w:val="en-GB"/>
        </w:rPr>
        <w:t xml:space="preserve"> </w:t>
      </w:r>
      <w:r w:rsidR="00732F4E"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 xml:space="preserve">of a possible future dismissal from the </w:t>
      </w:r>
      <w:r w:rsidR="00732F4E" w:rsidRPr="00D80782">
        <w:rPr>
          <w:rFonts w:ascii="Times New Roman" w:hAnsi="Times New Roman" w:cs="Times New Roman"/>
          <w:sz w:val="28"/>
          <w:szCs w:val="28"/>
          <w:lang w:val="en-GB"/>
        </w:rPr>
        <w:t>office”</w:t>
      </w:r>
      <w:r w:rsidRPr="00D80782">
        <w:rPr>
          <w:rFonts w:ascii="Times New Roman" w:hAnsi="Times New Roman" w:cs="Times New Roman"/>
          <w:sz w:val="28"/>
          <w:szCs w:val="28"/>
          <w:lang w:val="en-GB"/>
        </w:rPr>
        <w:t>.</w:t>
      </w:r>
    </w:p>
    <w:p w:rsidR="0027406A" w:rsidRPr="00D80782" w:rsidRDefault="000F672C" w:rsidP="007F1C60">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At the same time, paragraphs </w:t>
      </w:r>
      <w:r w:rsidR="0065407A" w:rsidRPr="00D80782">
        <w:rPr>
          <w:rFonts w:ascii="Times New Roman" w:hAnsi="Times New Roman" w:cs="Times New Roman"/>
          <w:sz w:val="28"/>
          <w:szCs w:val="28"/>
          <w:lang w:val="en-GB"/>
        </w:rPr>
        <w:t>1</w:t>
      </w:r>
      <w:r w:rsidRPr="00D80782">
        <w:rPr>
          <w:rFonts w:ascii="Times New Roman" w:hAnsi="Times New Roman" w:cs="Times New Roman"/>
          <w:sz w:val="28"/>
          <w:szCs w:val="28"/>
          <w:lang w:val="en-GB"/>
        </w:rPr>
        <w:t xml:space="preserve"> and </w:t>
      </w:r>
      <w:r w:rsidR="0065407A" w:rsidRPr="00D80782">
        <w:rPr>
          <w:rFonts w:ascii="Times New Roman" w:hAnsi="Times New Roman" w:cs="Times New Roman"/>
          <w:sz w:val="28"/>
          <w:szCs w:val="28"/>
          <w:lang w:val="en-GB"/>
        </w:rPr>
        <w:t>2</w:t>
      </w:r>
      <w:r w:rsidRPr="00D80782">
        <w:rPr>
          <w:rFonts w:ascii="Times New Roman" w:hAnsi="Times New Roman" w:cs="Times New Roman"/>
          <w:sz w:val="28"/>
          <w:szCs w:val="28"/>
          <w:lang w:val="en-GB"/>
        </w:rPr>
        <w:t xml:space="preserve"> of </w:t>
      </w:r>
      <w:r w:rsidR="00DD746F">
        <w:rPr>
          <w:rFonts w:ascii="Times New Roman" w:hAnsi="Times New Roman" w:cs="Times New Roman"/>
          <w:sz w:val="28"/>
          <w:szCs w:val="28"/>
          <w:lang w:val="en-GB"/>
        </w:rPr>
        <w:t>c</w:t>
      </w:r>
      <w:r w:rsidRPr="00D80782">
        <w:rPr>
          <w:rFonts w:ascii="Times New Roman" w:hAnsi="Times New Roman" w:cs="Times New Roman"/>
          <w:sz w:val="28"/>
          <w:szCs w:val="28"/>
          <w:lang w:val="en-GB"/>
        </w:rPr>
        <w:t xml:space="preserve">lause 19 of Section II “Final and Transitional Provisions”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5705A2">
        <w:rPr>
          <w:rFonts w:ascii="Times New Roman" w:hAnsi="Times New Roman" w:cs="Times New Roman"/>
          <w:sz w:val="28"/>
          <w:szCs w:val="28"/>
          <w:lang w:val="en-GB"/>
        </w:rPr>
        <w:t> </w:t>
      </w:r>
      <w:r w:rsidRPr="00D80782">
        <w:rPr>
          <w:rFonts w:ascii="Times New Roman" w:hAnsi="Times New Roman" w:cs="Times New Roman"/>
          <w:sz w:val="28"/>
          <w:szCs w:val="28"/>
          <w:lang w:val="en-GB"/>
        </w:rPr>
        <w:t xml:space="preserve">113 determined that prosecutors </w:t>
      </w:r>
      <w:r w:rsidR="00DD746F">
        <w:rPr>
          <w:rFonts w:ascii="Times New Roman" w:hAnsi="Times New Roman" w:cs="Times New Roman"/>
          <w:sz w:val="28"/>
          <w:szCs w:val="28"/>
          <w:lang w:val="en-GB"/>
        </w:rPr>
        <w:t xml:space="preserve">shall be </w:t>
      </w:r>
      <w:r w:rsidRPr="00D80782">
        <w:rPr>
          <w:rFonts w:ascii="Times New Roman" w:hAnsi="Times New Roman" w:cs="Times New Roman"/>
          <w:sz w:val="28"/>
          <w:szCs w:val="28"/>
          <w:lang w:val="en-GB"/>
        </w:rPr>
        <w:t xml:space="preserve">dismissed from the </w:t>
      </w:r>
      <w:r w:rsidR="002708C0" w:rsidRPr="00D80782">
        <w:rPr>
          <w:rFonts w:ascii="Times New Roman" w:hAnsi="Times New Roman" w:cs="Times New Roman"/>
          <w:sz w:val="28"/>
          <w:szCs w:val="28"/>
          <w:lang w:val="en-GB"/>
        </w:rPr>
        <w:t>office</w:t>
      </w:r>
      <w:r w:rsidRPr="00D80782">
        <w:rPr>
          <w:rFonts w:ascii="Times New Roman" w:hAnsi="Times New Roman" w:cs="Times New Roman"/>
          <w:sz w:val="28"/>
          <w:szCs w:val="28"/>
          <w:lang w:val="en-GB"/>
        </w:rPr>
        <w:t xml:space="preserve"> of prosecutor on the basis of </w:t>
      </w:r>
      <w:r w:rsidR="0065407A" w:rsidRPr="00D80782">
        <w:rPr>
          <w:rFonts w:ascii="Times New Roman" w:hAnsi="Times New Roman" w:cs="Times New Roman"/>
          <w:sz w:val="28"/>
          <w:szCs w:val="28"/>
          <w:lang w:val="en-GB"/>
        </w:rPr>
        <w:t>A</w:t>
      </w:r>
      <w:r w:rsidRPr="00D80782">
        <w:rPr>
          <w:rFonts w:ascii="Times New Roman" w:hAnsi="Times New Roman" w:cs="Times New Roman"/>
          <w:sz w:val="28"/>
          <w:szCs w:val="28"/>
          <w:lang w:val="en-GB"/>
        </w:rPr>
        <w:t>rticle 51</w:t>
      </w:r>
      <w:r w:rsidR="0065407A" w:rsidRPr="00D80782">
        <w:rPr>
          <w:rFonts w:ascii="Times New Roman" w:hAnsi="Times New Roman" w:cs="Times New Roman"/>
          <w:sz w:val="28"/>
          <w:szCs w:val="28"/>
          <w:lang w:val="en-GB"/>
        </w:rPr>
        <w:t>.1.9</w:t>
      </w:r>
      <w:r w:rsidRPr="00D80782">
        <w:rPr>
          <w:rFonts w:ascii="Times New Roman" w:hAnsi="Times New Roman" w:cs="Times New Roman"/>
          <w:sz w:val="28"/>
          <w:szCs w:val="28"/>
          <w:lang w:val="en-GB"/>
        </w:rPr>
        <w:t xml:space="preserve"> of the Law of Ukraine </w:t>
      </w:r>
      <w:r w:rsidR="002E7A89"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On the Prosecut</w:t>
      </w:r>
      <w:r w:rsidR="002E7A89"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w:t>
      </w:r>
      <w:r w:rsidR="00836A38" w:rsidRPr="00D80782">
        <w:rPr>
          <w:rFonts w:ascii="Times New Roman" w:hAnsi="Times New Roman" w:cs="Times New Roman"/>
          <w:sz w:val="28"/>
          <w:szCs w:val="28"/>
          <w:lang w:val="en-GB"/>
        </w:rPr>
        <w:t>Office</w:t>
      </w:r>
      <w:r w:rsidR="002E7A89"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 xml:space="preserve"> dated October 14, 2014 No. 1697- VII on the condition of </w:t>
      </w:r>
      <w:r w:rsidR="00697A30" w:rsidRPr="00D80782">
        <w:rPr>
          <w:rFonts w:ascii="Times New Roman" w:hAnsi="Times New Roman" w:cs="Times New Roman"/>
          <w:sz w:val="28"/>
          <w:szCs w:val="28"/>
          <w:lang w:val="en-GB"/>
        </w:rPr>
        <w:t>“</w:t>
      </w:r>
      <w:r w:rsidRPr="00D80782">
        <w:rPr>
          <w:rFonts w:ascii="Times New Roman" w:hAnsi="Times New Roman" w:cs="Times New Roman"/>
          <w:sz w:val="28"/>
          <w:szCs w:val="28"/>
          <w:lang w:val="en-GB"/>
        </w:rPr>
        <w:t>failure to submit &lt; ... &gt; within the prescribed period of time an application to the Prosecutor General about the transfer to the Office of the Prosecutor General, the regional prosecut</w:t>
      </w:r>
      <w:r w:rsidR="00697A30"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 the district prosecut</w:t>
      </w:r>
      <w:r w:rsidR="00697A30"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 and the intention to undergo </w:t>
      </w:r>
      <w:r w:rsidR="002A6B51" w:rsidRPr="00D80782">
        <w:rPr>
          <w:rFonts w:ascii="Times New Roman" w:hAnsi="Times New Roman" w:cs="Times New Roman"/>
          <w:sz w:val="28"/>
          <w:szCs w:val="28"/>
          <w:lang w:val="en-GB"/>
        </w:rPr>
        <w:t>certification in this regard“</w:t>
      </w:r>
      <w:r w:rsidRPr="00D80782">
        <w:rPr>
          <w:rFonts w:ascii="Times New Roman" w:hAnsi="Times New Roman" w:cs="Times New Roman"/>
          <w:sz w:val="28"/>
          <w:szCs w:val="28"/>
          <w:lang w:val="en-GB"/>
        </w:rPr>
        <w:t>.</w:t>
      </w:r>
    </w:p>
    <w:p w:rsidR="0027406A" w:rsidRPr="00D80782" w:rsidRDefault="00246177" w:rsidP="007F1C60">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Thus,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E90F89">
        <w:rPr>
          <w:rFonts w:ascii="Times New Roman" w:hAnsi="Times New Roman" w:cs="Times New Roman"/>
          <w:sz w:val="28"/>
          <w:szCs w:val="28"/>
          <w:lang w:val="en-GB"/>
        </w:rPr>
        <w:t> </w:t>
      </w:r>
      <w:r w:rsidRPr="00D80782">
        <w:rPr>
          <w:rFonts w:ascii="Times New Roman" w:hAnsi="Times New Roman" w:cs="Times New Roman"/>
          <w:sz w:val="28"/>
          <w:szCs w:val="28"/>
          <w:lang w:val="en-GB"/>
        </w:rPr>
        <w:t xml:space="preserve">113 in the </w:t>
      </w:r>
      <w:r w:rsidR="002A6B51" w:rsidRPr="00D80782">
        <w:rPr>
          <w:rFonts w:ascii="Times New Roman" w:hAnsi="Times New Roman" w:cs="Times New Roman"/>
          <w:sz w:val="28"/>
          <w:szCs w:val="28"/>
          <w:lang w:val="en-GB"/>
        </w:rPr>
        <w:t>substantive</w:t>
      </w:r>
      <w:r w:rsidRPr="00D80782">
        <w:rPr>
          <w:rFonts w:ascii="Times New Roman" w:hAnsi="Times New Roman" w:cs="Times New Roman"/>
          <w:sz w:val="28"/>
          <w:szCs w:val="28"/>
          <w:lang w:val="en-GB"/>
        </w:rPr>
        <w:t xml:space="preserve"> con</w:t>
      </w:r>
      <w:r w:rsidR="007E1DBE" w:rsidRPr="00D80782">
        <w:rPr>
          <w:rFonts w:ascii="Times New Roman" w:hAnsi="Times New Roman" w:cs="Times New Roman"/>
          <w:sz w:val="28"/>
          <w:szCs w:val="28"/>
          <w:lang w:val="en-GB"/>
        </w:rPr>
        <w:t>junction</w:t>
      </w:r>
      <w:r w:rsidRPr="00D80782">
        <w:rPr>
          <w:rFonts w:ascii="Times New Roman" w:hAnsi="Times New Roman" w:cs="Times New Roman"/>
          <w:sz w:val="28"/>
          <w:szCs w:val="28"/>
          <w:lang w:val="en-GB"/>
        </w:rPr>
        <w:t xml:space="preserve"> with s</w:t>
      </w:r>
      <w:r w:rsidR="002A6B51" w:rsidRPr="00D80782">
        <w:rPr>
          <w:rFonts w:ascii="Times New Roman" w:hAnsi="Times New Roman" w:cs="Times New Roman"/>
          <w:sz w:val="28"/>
          <w:szCs w:val="28"/>
          <w:lang w:val="en-GB"/>
        </w:rPr>
        <w:t>pecific</w:t>
      </w:r>
      <w:r w:rsidRPr="00D80782">
        <w:rPr>
          <w:rFonts w:ascii="Times New Roman" w:hAnsi="Times New Roman" w:cs="Times New Roman"/>
          <w:sz w:val="28"/>
          <w:szCs w:val="28"/>
          <w:lang w:val="en-GB"/>
        </w:rPr>
        <w:t xml:space="preserve"> provisions of </w:t>
      </w:r>
      <w:r w:rsidR="00DD746F">
        <w:rPr>
          <w:rFonts w:ascii="Times New Roman" w:hAnsi="Times New Roman" w:cs="Times New Roman"/>
          <w:sz w:val="28"/>
          <w:szCs w:val="28"/>
          <w:lang w:val="en-GB"/>
        </w:rPr>
        <w:t>c</w:t>
      </w:r>
      <w:r w:rsidRPr="00D80782">
        <w:rPr>
          <w:rFonts w:ascii="Times New Roman" w:hAnsi="Times New Roman" w:cs="Times New Roman"/>
          <w:sz w:val="28"/>
          <w:szCs w:val="28"/>
          <w:lang w:val="en-GB"/>
        </w:rPr>
        <w:t xml:space="preserve">lauses 7 and 19 of </w:t>
      </w:r>
      <w:r w:rsidR="002A6B51" w:rsidRPr="00D80782">
        <w:rPr>
          <w:rFonts w:ascii="Times New Roman" w:hAnsi="Times New Roman" w:cs="Times New Roman"/>
          <w:sz w:val="28"/>
          <w:szCs w:val="28"/>
          <w:lang w:val="en-GB"/>
        </w:rPr>
        <w:t>S</w:t>
      </w:r>
      <w:r w:rsidRPr="00D80782">
        <w:rPr>
          <w:rFonts w:ascii="Times New Roman" w:hAnsi="Times New Roman" w:cs="Times New Roman"/>
          <w:sz w:val="28"/>
          <w:szCs w:val="28"/>
          <w:lang w:val="en-GB"/>
        </w:rPr>
        <w:t xml:space="preserve">ection </w:t>
      </w:r>
      <w:r w:rsidR="002A6B51" w:rsidRPr="00D80782">
        <w:rPr>
          <w:rFonts w:ascii="Times New Roman" w:hAnsi="Times New Roman" w:cs="Times New Roman"/>
          <w:sz w:val="28"/>
          <w:szCs w:val="28"/>
          <w:lang w:val="en-GB"/>
        </w:rPr>
        <w:t>II “</w:t>
      </w:r>
      <w:r w:rsidRPr="00D80782">
        <w:rPr>
          <w:rFonts w:ascii="Times New Roman" w:hAnsi="Times New Roman" w:cs="Times New Roman"/>
          <w:sz w:val="28"/>
          <w:szCs w:val="28"/>
          <w:lang w:val="en-GB"/>
        </w:rPr>
        <w:t xml:space="preserve">Final and </w:t>
      </w:r>
      <w:r w:rsidR="002A6B51" w:rsidRPr="00D80782">
        <w:rPr>
          <w:rFonts w:ascii="Times New Roman" w:hAnsi="Times New Roman" w:cs="Times New Roman"/>
          <w:sz w:val="28"/>
          <w:szCs w:val="28"/>
          <w:lang w:val="en-GB"/>
        </w:rPr>
        <w:t>T</w:t>
      </w:r>
      <w:r w:rsidRPr="00D80782">
        <w:rPr>
          <w:rFonts w:ascii="Times New Roman" w:hAnsi="Times New Roman" w:cs="Times New Roman"/>
          <w:sz w:val="28"/>
          <w:szCs w:val="28"/>
          <w:lang w:val="en-GB"/>
        </w:rPr>
        <w:t>ransitional provisions</w:t>
      </w:r>
      <w:r w:rsidR="00650497">
        <w:rPr>
          <w:rFonts w:ascii="Times New Roman" w:hAnsi="Times New Roman" w:cs="Times New Roman"/>
          <w:sz w:val="28"/>
          <w:szCs w:val="28"/>
          <w:lang w:val="en-GB"/>
        </w:rPr>
        <w:t>”</w:t>
      </w:r>
      <w:r w:rsidRPr="00D80782">
        <w:rPr>
          <w:rFonts w:ascii="Times New Roman" w:hAnsi="Times New Roman" w:cs="Times New Roman"/>
          <w:sz w:val="28"/>
          <w:szCs w:val="28"/>
          <w:lang w:val="en-GB"/>
        </w:rPr>
        <w:t xml:space="preserve">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650497">
        <w:rPr>
          <w:rFonts w:ascii="Times New Roman" w:hAnsi="Times New Roman" w:cs="Times New Roman"/>
          <w:sz w:val="28"/>
          <w:szCs w:val="28"/>
          <w:lang w:val="en-GB"/>
        </w:rPr>
        <w:t> </w:t>
      </w:r>
      <w:r w:rsidRPr="00D80782">
        <w:rPr>
          <w:rFonts w:ascii="Times New Roman" w:hAnsi="Times New Roman" w:cs="Times New Roman"/>
          <w:sz w:val="28"/>
          <w:szCs w:val="28"/>
          <w:lang w:val="en-GB"/>
        </w:rPr>
        <w:t xml:space="preserve">113 can be interpreted and applied as a notice of possible future </w:t>
      </w:r>
      <w:r w:rsidR="002A6B51" w:rsidRPr="00D80782">
        <w:rPr>
          <w:rFonts w:ascii="Times New Roman" w:hAnsi="Times New Roman" w:cs="Times New Roman"/>
          <w:sz w:val="28"/>
          <w:szCs w:val="28"/>
          <w:lang w:val="en-GB"/>
        </w:rPr>
        <w:t>dismissal</w:t>
      </w:r>
      <w:r w:rsidRPr="00D80782">
        <w:rPr>
          <w:rFonts w:ascii="Times New Roman" w:hAnsi="Times New Roman" w:cs="Times New Roman"/>
          <w:sz w:val="28"/>
          <w:szCs w:val="28"/>
          <w:lang w:val="en-GB"/>
        </w:rPr>
        <w:t xml:space="preserve"> of the subject of the right to constitutional complaint and any other prosecutor from the </w:t>
      </w:r>
      <w:r w:rsidR="002A6B51" w:rsidRPr="00D80782">
        <w:rPr>
          <w:rFonts w:ascii="Times New Roman" w:hAnsi="Times New Roman" w:cs="Times New Roman"/>
          <w:sz w:val="28"/>
          <w:szCs w:val="28"/>
          <w:lang w:val="en-GB"/>
        </w:rPr>
        <w:t>office</w:t>
      </w:r>
      <w:r w:rsidRPr="00D80782">
        <w:rPr>
          <w:rFonts w:ascii="Times New Roman" w:hAnsi="Times New Roman" w:cs="Times New Roman"/>
          <w:sz w:val="28"/>
          <w:szCs w:val="28"/>
          <w:lang w:val="en-GB"/>
        </w:rPr>
        <w:t xml:space="preserve">, and as a proposal for the possible further employment of any prosecutor for a </w:t>
      </w:r>
      <w:r w:rsidR="002A6B51" w:rsidRPr="00D80782">
        <w:rPr>
          <w:rFonts w:ascii="Times New Roman" w:hAnsi="Times New Roman" w:cs="Times New Roman"/>
          <w:sz w:val="28"/>
          <w:szCs w:val="28"/>
          <w:lang w:val="en-GB"/>
        </w:rPr>
        <w:t>office</w:t>
      </w:r>
      <w:r w:rsidRPr="00D80782">
        <w:rPr>
          <w:rFonts w:ascii="Times New Roman" w:hAnsi="Times New Roman" w:cs="Times New Roman"/>
          <w:sz w:val="28"/>
          <w:szCs w:val="28"/>
          <w:lang w:val="en-GB"/>
        </w:rPr>
        <w:t xml:space="preserve"> in the General Prosecutor's Office, regional or district </w:t>
      </w:r>
      <w:r w:rsidRPr="00D80782">
        <w:rPr>
          <w:rFonts w:ascii="Times New Roman" w:hAnsi="Times New Roman" w:cs="Times New Roman"/>
          <w:sz w:val="28"/>
          <w:szCs w:val="28"/>
          <w:lang w:val="en-GB"/>
        </w:rPr>
        <w:lastRenderedPageBreak/>
        <w:t>prosecut</w:t>
      </w:r>
      <w:r w:rsidR="002A6B51"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 on the basis of the relevant application for transfer and the intention to undergo certification in this regard.</w:t>
      </w:r>
    </w:p>
    <w:p w:rsidR="009C3AFE" w:rsidRPr="00D80782" w:rsidRDefault="005D6D4F" w:rsidP="007D6FE4">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As a result, the use of the words “possible future dismissal” in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013097">
        <w:rPr>
          <w:rFonts w:ascii="Times New Roman" w:hAnsi="Times New Roman" w:cs="Times New Roman"/>
          <w:sz w:val="28"/>
          <w:szCs w:val="28"/>
          <w:lang w:val="en-GB"/>
        </w:rPr>
        <w:t> </w:t>
      </w:r>
      <w:r w:rsidRPr="00D80782">
        <w:rPr>
          <w:rFonts w:ascii="Times New Roman" w:hAnsi="Times New Roman" w:cs="Times New Roman"/>
          <w:sz w:val="28"/>
          <w:szCs w:val="28"/>
          <w:lang w:val="en-GB"/>
        </w:rPr>
        <w:t xml:space="preserve">113 led to a contradiction in its content, since the subject of the right to constitutional complaint and any other prosecutor from the moment of entry into force (September 25, 2019) of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AF0EAE">
        <w:rPr>
          <w:rFonts w:ascii="Times New Roman" w:hAnsi="Times New Roman" w:cs="Times New Roman"/>
          <w:sz w:val="28"/>
          <w:szCs w:val="28"/>
          <w:lang w:val="en-GB"/>
        </w:rPr>
        <w:t> </w:t>
      </w:r>
      <w:r w:rsidRPr="00D80782">
        <w:rPr>
          <w:rFonts w:ascii="Times New Roman" w:hAnsi="Times New Roman" w:cs="Times New Roman"/>
          <w:sz w:val="28"/>
          <w:szCs w:val="28"/>
          <w:lang w:val="en-GB"/>
        </w:rPr>
        <w:t>113 could consider that this order is either a notification of the next inevitable dismissal from the office of prosecutor, or, given the use of the words “possible” and “future” in it, that the dismissal in the future could not be applied and could be expected under certain conditions for the future tenure as a prosecutor.</w:t>
      </w:r>
    </w:p>
    <w:p w:rsidR="00246177" w:rsidRPr="00D80782" w:rsidRDefault="005D6D4F" w:rsidP="00737FEE">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Therefore, the subject of the right to constitutional complaint and any other prosecutor, to whom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 113 was extended, did not have the opportunity to clearly understand the content, foresee the legal consequences of its application, and plan their further actions.</w:t>
      </w:r>
    </w:p>
    <w:p w:rsidR="005D6D4F" w:rsidRPr="00D80782" w:rsidRDefault="005D6D4F" w:rsidP="00E60FE4">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The Constitutional Court takes into account the use of impersonal (depersonalised) provisions in laws and other normative acts, the addressees of which are all participants in social relations, i.e. </w:t>
      </w:r>
      <w:r w:rsidR="00154F96" w:rsidRPr="00D80782">
        <w:rPr>
          <w:rFonts w:ascii="Times New Roman" w:hAnsi="Times New Roman" w:cs="Times New Roman"/>
          <w:sz w:val="28"/>
          <w:szCs w:val="28"/>
          <w:lang w:val="en-GB"/>
        </w:rPr>
        <w:t>“e</w:t>
      </w:r>
      <w:r w:rsidRPr="00D80782">
        <w:rPr>
          <w:rFonts w:ascii="Times New Roman" w:hAnsi="Times New Roman" w:cs="Times New Roman"/>
          <w:sz w:val="28"/>
          <w:szCs w:val="28"/>
          <w:lang w:val="en-GB"/>
        </w:rPr>
        <w:t xml:space="preserve">veryone and </w:t>
      </w:r>
      <w:r w:rsidR="00154F96" w:rsidRPr="00D80782">
        <w:rPr>
          <w:rFonts w:ascii="Times New Roman" w:hAnsi="Times New Roman" w:cs="Times New Roman"/>
          <w:sz w:val="28"/>
          <w:szCs w:val="28"/>
          <w:lang w:val="en-GB"/>
        </w:rPr>
        <w:t>each</w:t>
      </w:r>
      <w:r w:rsidRPr="00D80782">
        <w:rPr>
          <w:rFonts w:ascii="Times New Roman" w:hAnsi="Times New Roman" w:cs="Times New Roman"/>
          <w:sz w:val="28"/>
          <w:szCs w:val="28"/>
          <w:lang w:val="en-GB"/>
        </w:rPr>
        <w:t>" or clearly defined persons, in particular all prosecutors of the General Prosecutor's Office of Ukraine, regional prosecut</w:t>
      </w:r>
      <w:r w:rsidR="00154F96"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offices, local prosecut</w:t>
      </w:r>
      <w:r w:rsidR="00154F96"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offices, military prosecut</w:t>
      </w:r>
      <w:r w:rsidR="00154F96" w:rsidRPr="00D80782">
        <w:rPr>
          <w:rFonts w:ascii="Times New Roman" w:hAnsi="Times New Roman" w:cs="Times New Roman"/>
          <w:sz w:val="28"/>
          <w:szCs w:val="28"/>
          <w:lang w:val="en-GB"/>
        </w:rPr>
        <w:t>ion</w:t>
      </w:r>
      <w:r w:rsidRPr="00D80782">
        <w:rPr>
          <w:rFonts w:ascii="Times New Roman" w:hAnsi="Times New Roman" w:cs="Times New Roman"/>
          <w:sz w:val="28"/>
          <w:szCs w:val="28"/>
          <w:lang w:val="en-GB"/>
        </w:rPr>
        <w:t xml:space="preserve"> office</w:t>
      </w:r>
      <w:r w:rsidR="00154F96" w:rsidRPr="00D80782">
        <w:rPr>
          <w:rFonts w:ascii="Times New Roman" w:hAnsi="Times New Roman" w:cs="Times New Roman"/>
          <w:sz w:val="28"/>
          <w:szCs w:val="28"/>
          <w:lang w:val="en-GB"/>
        </w:rPr>
        <w:t>s.</w:t>
      </w:r>
      <w:r w:rsidRPr="00D80782">
        <w:rPr>
          <w:rFonts w:ascii="Times New Roman" w:hAnsi="Times New Roman" w:cs="Times New Roman"/>
          <w:sz w:val="28"/>
          <w:szCs w:val="28"/>
          <w:lang w:val="en-GB"/>
        </w:rPr>
        <w:t xml:space="preserve"> Such depersonali</w:t>
      </w:r>
      <w:r w:rsidR="00154F96" w:rsidRPr="00D80782">
        <w:rPr>
          <w:rFonts w:ascii="Times New Roman" w:hAnsi="Times New Roman" w:cs="Times New Roman"/>
          <w:sz w:val="28"/>
          <w:szCs w:val="28"/>
          <w:lang w:val="en-GB"/>
        </w:rPr>
        <w:t>s</w:t>
      </w:r>
      <w:r w:rsidRPr="00D80782">
        <w:rPr>
          <w:rFonts w:ascii="Times New Roman" w:hAnsi="Times New Roman" w:cs="Times New Roman"/>
          <w:sz w:val="28"/>
          <w:szCs w:val="28"/>
          <w:lang w:val="en-GB"/>
        </w:rPr>
        <w:t>ation of pr</w:t>
      </w:r>
      <w:r w:rsidR="00154F96" w:rsidRPr="00D80782">
        <w:rPr>
          <w:rFonts w:ascii="Times New Roman" w:hAnsi="Times New Roman" w:cs="Times New Roman"/>
          <w:sz w:val="28"/>
          <w:szCs w:val="28"/>
          <w:lang w:val="en-GB"/>
        </w:rPr>
        <w:t>ovisions</w:t>
      </w:r>
      <w:r w:rsidRPr="00D80782">
        <w:rPr>
          <w:rFonts w:ascii="Times New Roman" w:hAnsi="Times New Roman" w:cs="Times New Roman"/>
          <w:sz w:val="28"/>
          <w:szCs w:val="28"/>
          <w:lang w:val="en-GB"/>
        </w:rPr>
        <w:t xml:space="preserve"> is inherent in normative acts of law.</w:t>
      </w:r>
    </w:p>
    <w:p w:rsidR="00011D14" w:rsidRPr="00D80782" w:rsidRDefault="008C02ED" w:rsidP="00E60FE4">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However,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Pr="00D80782">
        <w:rPr>
          <w:lang w:val="en-GB"/>
        </w:rPr>
        <w:t> </w:t>
      </w:r>
      <w:r w:rsidRPr="00D80782">
        <w:rPr>
          <w:rFonts w:ascii="Times New Roman" w:hAnsi="Times New Roman" w:cs="Times New Roman"/>
          <w:sz w:val="28"/>
          <w:szCs w:val="28"/>
          <w:lang w:val="en-GB"/>
        </w:rPr>
        <w:t>113 contains both separate features of an act of law enforcement, that is, an individual act of law addressed to the prosecutor, who is warned “about possible future dismissal from office”, and features of an impersonal regulatory provision that does not contain any personal data.</w:t>
      </w:r>
    </w:p>
    <w:p w:rsidR="008C02ED" w:rsidRPr="00D80782" w:rsidRDefault="008C02ED" w:rsidP="00914AA3">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A person who has suffered material and moral damage </w:t>
      </w:r>
      <w:r w:rsidR="007F7AA7">
        <w:rPr>
          <w:rFonts w:ascii="Times New Roman" w:hAnsi="Times New Roman" w:cs="Times New Roman"/>
          <w:sz w:val="28"/>
          <w:szCs w:val="28"/>
          <w:lang w:val="en-GB"/>
        </w:rPr>
        <w:t>in view</w:t>
      </w:r>
      <w:r w:rsidRPr="00D80782">
        <w:rPr>
          <w:rFonts w:ascii="Times New Roman" w:hAnsi="Times New Roman" w:cs="Times New Roman"/>
          <w:sz w:val="28"/>
          <w:szCs w:val="28"/>
          <w:lang w:val="en-GB"/>
        </w:rPr>
        <w:t xml:space="preserve"> of the application of the disputed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 xml:space="preserve">Law No. 113 has the right to compensation if the contested provision of </w:t>
      </w:r>
      <w:r w:rsidR="00DD746F">
        <w:rPr>
          <w:rFonts w:ascii="Times New Roman" w:hAnsi="Times New Roman" w:cs="Times New Roman"/>
          <w:sz w:val="28"/>
          <w:szCs w:val="28"/>
          <w:lang w:val="en-GB"/>
        </w:rPr>
        <w:t xml:space="preserve">the </w:t>
      </w:r>
      <w:r w:rsidRPr="00D80782">
        <w:rPr>
          <w:rFonts w:ascii="Times New Roman" w:hAnsi="Times New Roman" w:cs="Times New Roman"/>
          <w:sz w:val="28"/>
          <w:szCs w:val="28"/>
          <w:lang w:val="en-GB"/>
        </w:rPr>
        <w:t>Law No.</w:t>
      </w:r>
      <w:r w:rsidR="007F7AA7">
        <w:rPr>
          <w:rFonts w:ascii="Times New Roman" w:hAnsi="Times New Roman" w:cs="Times New Roman"/>
          <w:sz w:val="28"/>
          <w:szCs w:val="28"/>
          <w:lang w:val="en-GB"/>
        </w:rPr>
        <w:t> </w:t>
      </w:r>
      <w:r w:rsidRPr="00D80782">
        <w:rPr>
          <w:rFonts w:ascii="Times New Roman" w:hAnsi="Times New Roman" w:cs="Times New Roman"/>
          <w:sz w:val="28"/>
          <w:szCs w:val="28"/>
          <w:lang w:val="en-GB"/>
        </w:rPr>
        <w:t>113 is declared as unconstitutional.</w:t>
      </w:r>
    </w:p>
    <w:p w:rsidR="00F64852" w:rsidRPr="00D80782" w:rsidRDefault="00F64852" w:rsidP="00F64852">
      <w:pPr>
        <w:ind w:firstLine="851"/>
        <w:jc w:val="both"/>
        <w:rPr>
          <w:sz w:val="28"/>
          <w:szCs w:val="28"/>
          <w:lang w:val="en-GB"/>
        </w:rPr>
      </w:pPr>
      <w:r>
        <w:rPr>
          <w:sz w:val="28"/>
          <w:szCs w:val="28"/>
          <w:lang w:val="en-GB"/>
        </w:rPr>
        <w:t xml:space="preserve">Thus, the Constitutional Court of Ukraine held to declare </w:t>
      </w:r>
      <w:r w:rsidR="00DD746F">
        <w:rPr>
          <w:sz w:val="28"/>
          <w:szCs w:val="28"/>
          <w:lang w:val="en-GB"/>
        </w:rPr>
        <w:t>c</w:t>
      </w:r>
      <w:r w:rsidRPr="00D80782">
        <w:rPr>
          <w:sz w:val="28"/>
          <w:szCs w:val="28"/>
          <w:lang w:val="en-GB"/>
        </w:rPr>
        <w:t>lause 6 of Section II “Final and Transitional Provisions” of the Law “On Amending Some Legislative Acts of Ukraine on Priority Measures for the Reform of the Prosecution Bodies” dated September 19, 2019 No. 113-ХХ as inconsistent with the Constit</w:t>
      </w:r>
      <w:r>
        <w:rPr>
          <w:sz w:val="28"/>
          <w:szCs w:val="28"/>
          <w:lang w:val="en-GB"/>
        </w:rPr>
        <w:t>ution (unconstitutional)</w:t>
      </w:r>
      <w:r w:rsidR="00DD746F">
        <w:rPr>
          <w:sz w:val="28"/>
          <w:szCs w:val="28"/>
          <w:lang w:val="en-GB"/>
        </w:rPr>
        <w:t>.</w:t>
      </w:r>
      <w:r>
        <w:rPr>
          <w:sz w:val="28"/>
          <w:szCs w:val="28"/>
          <w:lang w:val="en-GB"/>
        </w:rPr>
        <w:t xml:space="preserve"> </w:t>
      </w:r>
      <w:r w:rsidR="00DD746F">
        <w:rPr>
          <w:sz w:val="28"/>
          <w:szCs w:val="28"/>
          <w:lang w:val="en-GB"/>
        </w:rPr>
        <w:t xml:space="preserve">It shall </w:t>
      </w:r>
      <w:r>
        <w:rPr>
          <w:sz w:val="28"/>
          <w:szCs w:val="28"/>
          <w:lang w:val="en-GB"/>
        </w:rPr>
        <w:t>lose its</w:t>
      </w:r>
      <w:r w:rsidRPr="00D80782">
        <w:rPr>
          <w:sz w:val="28"/>
          <w:szCs w:val="28"/>
          <w:lang w:val="en-GB"/>
        </w:rPr>
        <w:t xml:space="preserve"> effect from the date of delivering of this Decision by the Constitutional Court.</w:t>
      </w:r>
    </w:p>
    <w:p w:rsidR="00F64852" w:rsidRPr="00D80782" w:rsidRDefault="00F64852" w:rsidP="00CE7204">
      <w:pPr>
        <w:pStyle w:val="HTML"/>
        <w:ind w:firstLine="851"/>
        <w:jc w:val="both"/>
        <w:rPr>
          <w:rFonts w:ascii="Times New Roman" w:hAnsi="Times New Roman" w:cs="Times New Roman"/>
          <w:sz w:val="28"/>
          <w:szCs w:val="28"/>
          <w:lang w:val="en-GB"/>
        </w:rPr>
      </w:pPr>
    </w:p>
    <w:p w:rsidR="00FA7FDF" w:rsidRPr="00DD746F" w:rsidRDefault="00B01904" w:rsidP="00B01904">
      <w:pPr>
        <w:pStyle w:val="HTML"/>
        <w:ind w:firstLine="851"/>
        <w:jc w:val="both"/>
        <w:rPr>
          <w:rFonts w:ascii="Times New Roman" w:hAnsi="Times New Roman" w:cs="Times New Roman"/>
          <w:bCs/>
          <w:i/>
          <w:sz w:val="28"/>
          <w:szCs w:val="28"/>
          <w:lang w:val="en-GB"/>
        </w:rPr>
      </w:pPr>
      <w:r w:rsidRPr="00DD746F">
        <w:rPr>
          <w:rFonts w:ascii="Times New Roman" w:hAnsi="Times New Roman" w:cs="Times New Roman"/>
          <w:i/>
          <w:sz w:val="28"/>
          <w:szCs w:val="28"/>
          <w:lang w:val="en-GB"/>
        </w:rPr>
        <w:t>References</w:t>
      </w:r>
      <w:r w:rsidR="00FA7FDF" w:rsidRPr="00DD746F">
        <w:rPr>
          <w:rFonts w:ascii="Times New Roman" w:hAnsi="Times New Roman" w:cs="Times New Roman"/>
          <w:bCs/>
          <w:i/>
          <w:sz w:val="28"/>
          <w:szCs w:val="28"/>
          <w:lang w:val="en-GB"/>
        </w:rPr>
        <w:t>:</w:t>
      </w:r>
    </w:p>
    <w:p w:rsidR="00BF3127" w:rsidRPr="00D80782" w:rsidRDefault="00BF3127"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Decisions of the Constitutional Court of Ukraine:</w:t>
      </w:r>
    </w:p>
    <w:p w:rsidR="00BF3127" w:rsidRPr="00D80782" w:rsidRDefault="00BF3127"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No.</w:t>
      </w:r>
      <w:r w:rsidR="00BD6C48" w:rsidRPr="00D80782">
        <w:rPr>
          <w:rFonts w:ascii="Times New Roman" w:hAnsi="Times New Roman" w:cs="Times New Roman"/>
          <w:sz w:val="28"/>
          <w:szCs w:val="28"/>
          <w:lang w:val="en-GB"/>
        </w:rPr>
        <w:t> </w:t>
      </w:r>
      <w:r w:rsidRPr="00D80782">
        <w:rPr>
          <w:rFonts w:ascii="Times New Roman" w:hAnsi="Times New Roman" w:cs="Times New Roman"/>
          <w:sz w:val="28"/>
          <w:szCs w:val="28"/>
          <w:lang w:val="en-GB"/>
        </w:rPr>
        <w:t>12-rp/2009 dated May 27, 2009,</w:t>
      </w:r>
    </w:p>
    <w:p w:rsidR="00F55F3E" w:rsidRPr="00D80782" w:rsidRDefault="00F55F3E"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b/>
          <w:sz w:val="28"/>
          <w:szCs w:val="28"/>
          <w:lang w:val="en-GB"/>
        </w:rPr>
        <w:t xml:space="preserve"> </w:t>
      </w:r>
      <w:r w:rsidRPr="00D80782">
        <w:rPr>
          <w:rFonts w:ascii="Times New Roman" w:hAnsi="Times New Roman" w:cs="Times New Roman"/>
          <w:sz w:val="28"/>
          <w:szCs w:val="28"/>
          <w:lang w:val="en-GB"/>
        </w:rPr>
        <w:t>- No.</w:t>
      </w:r>
      <w:r w:rsidR="00BD6C48" w:rsidRPr="00D80782">
        <w:rPr>
          <w:rFonts w:ascii="Times New Roman" w:hAnsi="Times New Roman" w:cs="Times New Roman"/>
          <w:sz w:val="28"/>
          <w:szCs w:val="28"/>
          <w:lang w:val="en-GB"/>
        </w:rPr>
        <w:t> </w:t>
      </w:r>
      <w:r w:rsidRPr="00D80782">
        <w:rPr>
          <w:rFonts w:ascii="Times New Roman" w:hAnsi="Times New Roman" w:cs="Times New Roman"/>
          <w:sz w:val="28"/>
          <w:szCs w:val="28"/>
          <w:lang w:val="en-GB"/>
        </w:rPr>
        <w:t>25-rp/2009 dated October 7, 2009,</w:t>
      </w:r>
    </w:p>
    <w:p w:rsidR="00563CA1" w:rsidRPr="00D80782" w:rsidRDefault="00563CA1"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No.</w:t>
      </w:r>
      <w:r w:rsidR="00BD6C48" w:rsidRPr="00D80782">
        <w:rPr>
          <w:rFonts w:ascii="Times New Roman" w:hAnsi="Times New Roman" w:cs="Times New Roman"/>
          <w:sz w:val="28"/>
          <w:szCs w:val="28"/>
          <w:lang w:val="en-GB"/>
        </w:rPr>
        <w:t> </w:t>
      </w:r>
      <w:r w:rsidRPr="00D80782">
        <w:rPr>
          <w:rFonts w:ascii="Times New Roman" w:hAnsi="Times New Roman" w:cs="Times New Roman"/>
          <w:sz w:val="28"/>
          <w:szCs w:val="28"/>
          <w:lang w:val="en-GB"/>
        </w:rPr>
        <w:t>6-r/2020 dated March 26, 2020,</w:t>
      </w:r>
    </w:p>
    <w:p w:rsidR="00142DC5" w:rsidRPr="00D80782" w:rsidRDefault="00142DC5"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No. 5-</w:t>
      </w:r>
      <w:r w:rsidR="0076201A" w:rsidRPr="00D80782">
        <w:rPr>
          <w:rFonts w:ascii="Times New Roman" w:hAnsi="Times New Roman" w:cs="Times New Roman"/>
          <w:sz w:val="28"/>
          <w:szCs w:val="28"/>
          <w:lang w:val="en-GB"/>
        </w:rPr>
        <w:t>r</w:t>
      </w:r>
      <w:r w:rsidRPr="00D80782">
        <w:rPr>
          <w:rFonts w:ascii="Times New Roman" w:hAnsi="Times New Roman" w:cs="Times New Roman"/>
          <w:sz w:val="28"/>
          <w:szCs w:val="28"/>
          <w:lang w:val="en-GB"/>
        </w:rPr>
        <w:t>(ІІ)/2020 dated June 18, 2020,</w:t>
      </w:r>
    </w:p>
    <w:p w:rsidR="0076201A" w:rsidRPr="00D80782" w:rsidRDefault="0076201A"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No. 1-r(ІІ)/2021 </w:t>
      </w:r>
      <w:r w:rsidR="00BF3127" w:rsidRPr="00D80782">
        <w:rPr>
          <w:rFonts w:ascii="Times New Roman" w:hAnsi="Times New Roman" w:cs="Times New Roman"/>
          <w:sz w:val="28"/>
          <w:szCs w:val="28"/>
          <w:lang w:val="en-GB"/>
        </w:rPr>
        <w:t>dated April 7, 2021</w:t>
      </w:r>
      <w:r w:rsidRPr="00D80782">
        <w:rPr>
          <w:rFonts w:ascii="Times New Roman" w:hAnsi="Times New Roman" w:cs="Times New Roman"/>
          <w:sz w:val="28"/>
          <w:szCs w:val="28"/>
          <w:lang w:val="en-GB"/>
        </w:rPr>
        <w:t>,</w:t>
      </w:r>
    </w:p>
    <w:p w:rsidR="0076201A" w:rsidRPr="00D80782" w:rsidRDefault="0076201A"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b/>
          <w:sz w:val="28"/>
          <w:szCs w:val="28"/>
          <w:lang w:val="en-GB"/>
        </w:rPr>
        <w:t xml:space="preserve"> </w:t>
      </w:r>
      <w:r w:rsidRPr="00D80782">
        <w:rPr>
          <w:rFonts w:ascii="Times New Roman" w:hAnsi="Times New Roman" w:cs="Times New Roman"/>
          <w:sz w:val="28"/>
          <w:szCs w:val="28"/>
          <w:lang w:val="en-GB"/>
        </w:rPr>
        <w:t xml:space="preserve">- No. 4-r(ІІ)/2021 </w:t>
      </w:r>
      <w:r w:rsidR="00BF3127" w:rsidRPr="00D80782">
        <w:rPr>
          <w:rFonts w:ascii="Times New Roman" w:hAnsi="Times New Roman" w:cs="Times New Roman"/>
          <w:sz w:val="28"/>
          <w:szCs w:val="28"/>
          <w:lang w:val="en-GB"/>
        </w:rPr>
        <w:t>dated July 21, 2021</w:t>
      </w:r>
      <w:r w:rsidRPr="00D80782">
        <w:rPr>
          <w:rFonts w:ascii="Times New Roman" w:hAnsi="Times New Roman" w:cs="Times New Roman"/>
          <w:sz w:val="28"/>
          <w:szCs w:val="28"/>
          <w:lang w:val="en-GB"/>
        </w:rPr>
        <w:t>.</w:t>
      </w:r>
    </w:p>
    <w:p w:rsidR="008F4FF4" w:rsidRPr="00D80782" w:rsidRDefault="008F4FF4" w:rsidP="00BF3127">
      <w:pPr>
        <w:pStyle w:val="HTML"/>
        <w:ind w:firstLine="851"/>
        <w:jc w:val="both"/>
        <w:rPr>
          <w:rFonts w:ascii="Times New Roman" w:hAnsi="Times New Roman" w:cs="Times New Roman"/>
          <w:b/>
          <w:sz w:val="28"/>
          <w:szCs w:val="28"/>
          <w:u w:val="single"/>
          <w:lang w:val="en-GB"/>
        </w:rPr>
      </w:pPr>
      <w:r w:rsidRPr="00D80782">
        <w:rPr>
          <w:rFonts w:ascii="Times New Roman" w:hAnsi="Times New Roman" w:cs="Times New Roman"/>
          <w:sz w:val="28"/>
          <w:szCs w:val="28"/>
          <w:lang w:val="en-GB"/>
        </w:rPr>
        <w:lastRenderedPageBreak/>
        <w:t xml:space="preserve">Judgments </w:t>
      </w:r>
      <w:r w:rsidR="00BF3127" w:rsidRPr="00D80782">
        <w:rPr>
          <w:rFonts w:ascii="Times New Roman" w:hAnsi="Times New Roman" w:cs="Times New Roman"/>
          <w:sz w:val="28"/>
          <w:szCs w:val="28"/>
          <w:lang w:val="en-GB"/>
        </w:rPr>
        <w:t>of the European Court of Human Rights</w:t>
      </w:r>
      <w:r w:rsidRPr="00D80782">
        <w:rPr>
          <w:rFonts w:ascii="Times New Roman" w:hAnsi="Times New Roman" w:cs="Times New Roman"/>
          <w:sz w:val="28"/>
          <w:szCs w:val="28"/>
          <w:lang w:val="en-GB"/>
        </w:rPr>
        <w:t>:</w:t>
      </w:r>
    </w:p>
    <w:p w:rsidR="00BF3127" w:rsidRPr="00D80782" w:rsidRDefault="008F4FF4"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w:t>
      </w:r>
      <w:r w:rsidR="00BF3127" w:rsidRPr="00D80782">
        <w:rPr>
          <w:rFonts w:ascii="Times New Roman" w:hAnsi="Times New Roman" w:cs="Times New Roman"/>
          <w:sz w:val="28"/>
          <w:szCs w:val="28"/>
          <w:lang w:val="en-GB"/>
        </w:rPr>
        <w:t xml:space="preserve">The Sunday Times v. the United Kingdom (No. 1) of </w:t>
      </w:r>
      <w:r w:rsidR="00F84D82">
        <w:rPr>
          <w:rFonts w:ascii="Times New Roman" w:hAnsi="Times New Roman" w:cs="Times New Roman"/>
          <w:sz w:val="28"/>
          <w:szCs w:val="28"/>
        </w:rPr>
        <w:t xml:space="preserve">26 </w:t>
      </w:r>
      <w:r w:rsidR="00BF3127" w:rsidRPr="00D80782">
        <w:rPr>
          <w:rFonts w:ascii="Times New Roman" w:hAnsi="Times New Roman" w:cs="Times New Roman"/>
          <w:sz w:val="28"/>
          <w:szCs w:val="28"/>
          <w:lang w:val="en-GB"/>
        </w:rPr>
        <w:t xml:space="preserve">April 1979 (application </w:t>
      </w:r>
      <w:r w:rsidRPr="00D80782">
        <w:rPr>
          <w:rFonts w:ascii="Times New Roman" w:hAnsi="Times New Roman" w:cs="Times New Roman"/>
          <w:sz w:val="28"/>
          <w:szCs w:val="28"/>
          <w:lang w:val="en-GB"/>
        </w:rPr>
        <w:t>no. </w:t>
      </w:r>
      <w:r w:rsidR="00BF3127" w:rsidRPr="00D80782">
        <w:rPr>
          <w:rFonts w:ascii="Times New Roman" w:hAnsi="Times New Roman" w:cs="Times New Roman"/>
          <w:sz w:val="28"/>
          <w:szCs w:val="28"/>
          <w:lang w:val="en-GB"/>
        </w:rPr>
        <w:t>6538/74),</w:t>
      </w:r>
    </w:p>
    <w:p w:rsidR="00BF3127" w:rsidRPr="00D80782" w:rsidRDefault="00926ACB"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w:t>
      </w:r>
      <w:r w:rsidR="00BF3127" w:rsidRPr="00D80782">
        <w:rPr>
          <w:rFonts w:ascii="Times New Roman" w:hAnsi="Times New Roman" w:cs="Times New Roman"/>
          <w:sz w:val="28"/>
          <w:szCs w:val="28"/>
          <w:lang w:val="en-GB"/>
        </w:rPr>
        <w:t xml:space="preserve">Rekvenyi v. Hungary [BP] of </w:t>
      </w:r>
      <w:r w:rsidR="00F84D82">
        <w:rPr>
          <w:rFonts w:ascii="Times New Roman" w:hAnsi="Times New Roman" w:cs="Times New Roman"/>
          <w:sz w:val="28"/>
          <w:szCs w:val="28"/>
        </w:rPr>
        <w:t xml:space="preserve">20 </w:t>
      </w:r>
      <w:r w:rsidR="00BF3127" w:rsidRPr="00D80782">
        <w:rPr>
          <w:rFonts w:ascii="Times New Roman" w:hAnsi="Times New Roman" w:cs="Times New Roman"/>
          <w:sz w:val="28"/>
          <w:szCs w:val="28"/>
          <w:lang w:val="en-GB"/>
        </w:rPr>
        <w:t xml:space="preserve">May 1999 (application </w:t>
      </w:r>
      <w:r w:rsidR="00783C3B" w:rsidRPr="00D80782">
        <w:rPr>
          <w:rFonts w:ascii="Times New Roman" w:hAnsi="Times New Roman" w:cs="Times New Roman"/>
          <w:sz w:val="28"/>
          <w:szCs w:val="28"/>
          <w:lang w:val="en-GB"/>
        </w:rPr>
        <w:t>no. </w:t>
      </w:r>
      <w:r w:rsidR="00BF3127" w:rsidRPr="00D80782">
        <w:rPr>
          <w:rFonts w:ascii="Times New Roman" w:hAnsi="Times New Roman" w:cs="Times New Roman"/>
          <w:sz w:val="28"/>
          <w:szCs w:val="28"/>
          <w:lang w:val="en-GB"/>
        </w:rPr>
        <w:t>25390/94)</w:t>
      </w:r>
      <w:r w:rsidR="00937EB1">
        <w:rPr>
          <w:rFonts w:ascii="Times New Roman" w:hAnsi="Times New Roman" w:cs="Times New Roman"/>
          <w:sz w:val="28"/>
          <w:szCs w:val="28"/>
          <w:lang w:val="en-GB"/>
        </w:rPr>
        <w:t>,</w:t>
      </w:r>
    </w:p>
    <w:p w:rsidR="00BF3127" w:rsidRPr="00D80782" w:rsidRDefault="00363B78"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w:t>
      </w:r>
      <w:r w:rsidR="00BF3127" w:rsidRPr="00D80782">
        <w:rPr>
          <w:rFonts w:ascii="Times New Roman" w:hAnsi="Times New Roman" w:cs="Times New Roman"/>
          <w:sz w:val="28"/>
          <w:szCs w:val="28"/>
          <w:lang w:val="en-GB"/>
        </w:rPr>
        <w:t xml:space="preserve">Rotaru v. Romania [BP] </w:t>
      </w:r>
      <w:r w:rsidR="003E191B">
        <w:rPr>
          <w:rFonts w:ascii="Times New Roman" w:hAnsi="Times New Roman" w:cs="Times New Roman"/>
          <w:sz w:val="28"/>
          <w:szCs w:val="28"/>
          <w:lang w:val="en-GB"/>
        </w:rPr>
        <w:t>of</w:t>
      </w:r>
      <w:r w:rsidR="00BF3127" w:rsidRPr="00D80782">
        <w:rPr>
          <w:rFonts w:ascii="Times New Roman" w:hAnsi="Times New Roman" w:cs="Times New Roman"/>
          <w:sz w:val="28"/>
          <w:szCs w:val="28"/>
          <w:lang w:val="en-GB"/>
        </w:rPr>
        <w:t xml:space="preserve"> </w:t>
      </w:r>
      <w:r w:rsidR="00F84D82">
        <w:rPr>
          <w:rFonts w:ascii="Times New Roman" w:hAnsi="Times New Roman" w:cs="Times New Roman"/>
          <w:sz w:val="28"/>
          <w:szCs w:val="28"/>
        </w:rPr>
        <w:t xml:space="preserve">4 </w:t>
      </w:r>
      <w:r w:rsidR="00BF3127" w:rsidRPr="00D80782">
        <w:rPr>
          <w:rFonts w:ascii="Times New Roman" w:hAnsi="Times New Roman" w:cs="Times New Roman"/>
          <w:sz w:val="28"/>
          <w:szCs w:val="28"/>
          <w:lang w:val="en-GB"/>
        </w:rPr>
        <w:t xml:space="preserve">May 2000 (application </w:t>
      </w:r>
      <w:r w:rsidRPr="00D80782">
        <w:rPr>
          <w:rFonts w:ascii="Times New Roman" w:hAnsi="Times New Roman" w:cs="Times New Roman"/>
          <w:sz w:val="28"/>
          <w:szCs w:val="28"/>
          <w:lang w:val="en-GB"/>
        </w:rPr>
        <w:t>n</w:t>
      </w:r>
      <w:r w:rsidR="00BF3127" w:rsidRPr="00D80782">
        <w:rPr>
          <w:rFonts w:ascii="Times New Roman" w:hAnsi="Times New Roman" w:cs="Times New Roman"/>
          <w:sz w:val="28"/>
          <w:szCs w:val="28"/>
          <w:lang w:val="en-GB"/>
        </w:rPr>
        <w:t>o.</w:t>
      </w:r>
      <w:r w:rsidR="00753102">
        <w:rPr>
          <w:rFonts w:ascii="Times New Roman" w:hAnsi="Times New Roman" w:cs="Times New Roman"/>
          <w:sz w:val="28"/>
          <w:szCs w:val="28"/>
          <w:lang w:val="en-GB"/>
        </w:rPr>
        <w:t> </w:t>
      </w:r>
      <w:r w:rsidR="00BF3127" w:rsidRPr="00D80782">
        <w:rPr>
          <w:rFonts w:ascii="Times New Roman" w:hAnsi="Times New Roman" w:cs="Times New Roman"/>
          <w:sz w:val="28"/>
          <w:szCs w:val="28"/>
          <w:lang w:val="en-GB"/>
        </w:rPr>
        <w:t>28341/95)</w:t>
      </w:r>
      <w:r w:rsidR="00937EB1">
        <w:rPr>
          <w:rFonts w:ascii="Times New Roman" w:hAnsi="Times New Roman" w:cs="Times New Roman"/>
          <w:sz w:val="28"/>
          <w:szCs w:val="28"/>
          <w:lang w:val="en-GB"/>
        </w:rPr>
        <w:t>,</w:t>
      </w:r>
    </w:p>
    <w:p w:rsidR="00BF3127" w:rsidRPr="00D80782" w:rsidRDefault="006F147C"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w:t>
      </w:r>
      <w:r w:rsidR="00BF3127" w:rsidRPr="00D80782">
        <w:rPr>
          <w:rFonts w:ascii="Times New Roman" w:hAnsi="Times New Roman" w:cs="Times New Roman"/>
          <w:sz w:val="28"/>
          <w:szCs w:val="28"/>
          <w:lang w:val="en-GB"/>
        </w:rPr>
        <w:t xml:space="preserve">Maestri v. Italy [BP] </w:t>
      </w:r>
      <w:r w:rsidR="003E191B">
        <w:rPr>
          <w:rFonts w:ascii="Times New Roman" w:hAnsi="Times New Roman" w:cs="Times New Roman"/>
          <w:sz w:val="28"/>
          <w:szCs w:val="28"/>
          <w:lang w:val="en-GB"/>
        </w:rPr>
        <w:t>of</w:t>
      </w:r>
      <w:r w:rsidR="00BF3127" w:rsidRPr="00D80782">
        <w:rPr>
          <w:rFonts w:ascii="Times New Roman" w:hAnsi="Times New Roman" w:cs="Times New Roman"/>
          <w:sz w:val="28"/>
          <w:szCs w:val="28"/>
          <w:lang w:val="en-GB"/>
        </w:rPr>
        <w:t xml:space="preserve"> </w:t>
      </w:r>
      <w:r w:rsidR="00F84D82">
        <w:rPr>
          <w:rFonts w:ascii="Times New Roman" w:hAnsi="Times New Roman" w:cs="Times New Roman"/>
          <w:sz w:val="28"/>
          <w:szCs w:val="28"/>
        </w:rPr>
        <w:t xml:space="preserve">17 </w:t>
      </w:r>
      <w:r w:rsidR="00BF3127" w:rsidRPr="00D80782">
        <w:rPr>
          <w:rFonts w:ascii="Times New Roman" w:hAnsi="Times New Roman" w:cs="Times New Roman"/>
          <w:sz w:val="28"/>
          <w:szCs w:val="28"/>
          <w:lang w:val="en-GB"/>
        </w:rPr>
        <w:t xml:space="preserve">February 2004 (application </w:t>
      </w:r>
      <w:r w:rsidRPr="00D80782">
        <w:rPr>
          <w:rFonts w:ascii="Times New Roman" w:hAnsi="Times New Roman" w:cs="Times New Roman"/>
          <w:sz w:val="28"/>
          <w:szCs w:val="28"/>
          <w:lang w:val="en-GB"/>
        </w:rPr>
        <w:t>n</w:t>
      </w:r>
      <w:r w:rsidR="00BF3127" w:rsidRPr="00D80782">
        <w:rPr>
          <w:rFonts w:ascii="Times New Roman" w:hAnsi="Times New Roman" w:cs="Times New Roman"/>
          <w:sz w:val="28"/>
          <w:szCs w:val="28"/>
          <w:lang w:val="en-GB"/>
        </w:rPr>
        <w:t>o.</w:t>
      </w:r>
      <w:r w:rsidR="00796C65" w:rsidRPr="00D80782">
        <w:rPr>
          <w:rFonts w:ascii="Times New Roman" w:hAnsi="Times New Roman" w:cs="Times New Roman"/>
          <w:sz w:val="28"/>
          <w:szCs w:val="28"/>
          <w:lang w:val="en-GB"/>
        </w:rPr>
        <w:t> </w:t>
      </w:r>
      <w:r w:rsidR="00BF3127" w:rsidRPr="00D80782">
        <w:rPr>
          <w:rFonts w:ascii="Times New Roman" w:hAnsi="Times New Roman" w:cs="Times New Roman"/>
          <w:sz w:val="28"/>
          <w:szCs w:val="28"/>
          <w:lang w:val="en-GB"/>
        </w:rPr>
        <w:t>39748/98)</w:t>
      </w:r>
      <w:r w:rsidR="00E03BF4">
        <w:rPr>
          <w:rFonts w:ascii="Times New Roman" w:hAnsi="Times New Roman" w:cs="Times New Roman"/>
          <w:sz w:val="28"/>
          <w:szCs w:val="28"/>
          <w:lang w:val="en-GB"/>
        </w:rPr>
        <w:t>,</w:t>
      </w:r>
    </w:p>
    <w:p w:rsidR="00BF3127" w:rsidRDefault="00E955C6"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 - </w:t>
      </w:r>
      <w:r w:rsidR="00BF3127" w:rsidRPr="00D80782">
        <w:rPr>
          <w:rFonts w:ascii="Times New Roman" w:hAnsi="Times New Roman" w:cs="Times New Roman"/>
          <w:sz w:val="28"/>
          <w:szCs w:val="28"/>
          <w:lang w:val="en-GB"/>
        </w:rPr>
        <w:t xml:space="preserve">Vyerentsov v. Ukraine </w:t>
      </w:r>
      <w:r w:rsidR="00E03BF4">
        <w:rPr>
          <w:rFonts w:ascii="Times New Roman" w:hAnsi="Times New Roman" w:cs="Times New Roman"/>
          <w:sz w:val="28"/>
          <w:szCs w:val="28"/>
          <w:lang w:val="en-GB"/>
        </w:rPr>
        <w:t>of</w:t>
      </w:r>
      <w:r w:rsidR="00BF3127" w:rsidRPr="00D80782">
        <w:rPr>
          <w:rFonts w:ascii="Times New Roman" w:hAnsi="Times New Roman" w:cs="Times New Roman"/>
          <w:sz w:val="28"/>
          <w:szCs w:val="28"/>
          <w:lang w:val="en-GB"/>
        </w:rPr>
        <w:t xml:space="preserve"> </w:t>
      </w:r>
      <w:r w:rsidR="00F84D82">
        <w:rPr>
          <w:rFonts w:ascii="Times New Roman" w:hAnsi="Times New Roman" w:cs="Times New Roman"/>
          <w:sz w:val="28"/>
          <w:szCs w:val="28"/>
        </w:rPr>
        <w:t xml:space="preserve">11 </w:t>
      </w:r>
      <w:r w:rsidR="00BF3127" w:rsidRPr="00D80782">
        <w:rPr>
          <w:rFonts w:ascii="Times New Roman" w:hAnsi="Times New Roman" w:cs="Times New Roman"/>
          <w:sz w:val="28"/>
          <w:szCs w:val="28"/>
          <w:lang w:val="en-GB"/>
        </w:rPr>
        <w:t xml:space="preserve">April 2013 (application </w:t>
      </w:r>
      <w:r w:rsidRPr="00D80782">
        <w:rPr>
          <w:rFonts w:ascii="Times New Roman" w:hAnsi="Times New Roman" w:cs="Times New Roman"/>
          <w:sz w:val="28"/>
          <w:szCs w:val="28"/>
          <w:lang w:val="en-GB"/>
        </w:rPr>
        <w:t>n</w:t>
      </w:r>
      <w:r w:rsidR="00BF3127" w:rsidRPr="00D80782">
        <w:rPr>
          <w:rFonts w:ascii="Times New Roman" w:hAnsi="Times New Roman" w:cs="Times New Roman"/>
          <w:sz w:val="28"/>
          <w:szCs w:val="28"/>
          <w:lang w:val="en-GB"/>
        </w:rPr>
        <w:t>o.</w:t>
      </w:r>
      <w:r w:rsidR="00754D33">
        <w:rPr>
          <w:rFonts w:ascii="Times New Roman" w:hAnsi="Times New Roman" w:cs="Times New Roman"/>
          <w:sz w:val="28"/>
          <w:szCs w:val="28"/>
          <w:lang w:val="en-GB"/>
        </w:rPr>
        <w:t> </w:t>
      </w:r>
      <w:r w:rsidR="00F84D82">
        <w:rPr>
          <w:rFonts w:ascii="Times New Roman" w:hAnsi="Times New Roman" w:cs="Times New Roman"/>
          <w:sz w:val="28"/>
          <w:szCs w:val="28"/>
          <w:lang w:val="en-GB"/>
        </w:rPr>
        <w:t>20372/11)</w:t>
      </w:r>
    </w:p>
    <w:p w:rsidR="00F84D82" w:rsidRPr="00D80782" w:rsidRDefault="00F84D82" w:rsidP="00BF3127">
      <w:pPr>
        <w:pStyle w:val="HTML"/>
        <w:ind w:firstLine="851"/>
        <w:jc w:val="both"/>
        <w:rPr>
          <w:rFonts w:ascii="Times New Roman" w:hAnsi="Times New Roman" w:cs="Times New Roman"/>
          <w:sz w:val="28"/>
          <w:szCs w:val="28"/>
          <w:lang w:val="en-GB"/>
        </w:rPr>
      </w:pPr>
      <w:bookmarkStart w:id="0" w:name="_GoBack"/>
      <w:bookmarkEnd w:id="0"/>
    </w:p>
    <w:p w:rsidR="000D1780" w:rsidRPr="00D80782" w:rsidRDefault="000D1780" w:rsidP="00BF3127">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Recommendation Rec(2000)19 of the Committee of Ministers to Member States on the Role of Public Prosecution in the Criminal Justice System, 6 October 2000, Rec(2000)19.</w:t>
      </w:r>
    </w:p>
    <w:p w:rsidR="002B4073" w:rsidRPr="00D80782" w:rsidRDefault="009B3F8A" w:rsidP="009B3F8A">
      <w:pPr>
        <w:pStyle w:val="HTML"/>
        <w:ind w:firstLine="851"/>
        <w:jc w:val="both"/>
        <w:rPr>
          <w:rFonts w:ascii="Times New Roman" w:hAnsi="Times New Roman" w:cs="Times New Roman"/>
          <w:sz w:val="28"/>
          <w:szCs w:val="28"/>
          <w:lang w:val="en-GB"/>
        </w:rPr>
      </w:pPr>
      <w:r w:rsidRPr="00D80782">
        <w:rPr>
          <w:rFonts w:ascii="Times New Roman" w:hAnsi="Times New Roman" w:cs="Times New Roman"/>
          <w:sz w:val="28"/>
          <w:szCs w:val="28"/>
          <w:lang w:val="en-GB"/>
        </w:rPr>
        <w:t xml:space="preserve">Bordeaux Declaration “Judges </w:t>
      </w:r>
      <w:r w:rsidR="00E279DE" w:rsidRPr="00D80782">
        <w:rPr>
          <w:rFonts w:ascii="Times New Roman" w:hAnsi="Times New Roman" w:cs="Times New Roman"/>
          <w:sz w:val="28"/>
          <w:szCs w:val="28"/>
          <w:lang w:val="en-GB"/>
        </w:rPr>
        <w:t>and Prosecutors in a</w:t>
      </w:r>
      <w:r w:rsidRPr="00D80782">
        <w:rPr>
          <w:rFonts w:ascii="Times New Roman" w:hAnsi="Times New Roman" w:cs="Times New Roman"/>
          <w:sz w:val="28"/>
          <w:szCs w:val="28"/>
          <w:lang w:val="en-GB"/>
        </w:rPr>
        <w:t xml:space="preserve"> Democratic Society” </w:t>
      </w:r>
      <w:r w:rsidR="00BF3127" w:rsidRPr="00D80782">
        <w:rPr>
          <w:rFonts w:ascii="Times New Roman" w:hAnsi="Times New Roman" w:cs="Times New Roman"/>
          <w:sz w:val="28"/>
          <w:szCs w:val="28"/>
          <w:lang w:val="en-GB"/>
        </w:rPr>
        <w:t>adopted on December 8, 2009 jointly by the Consultative Council of European Judges [</w:t>
      </w:r>
      <w:r w:rsidRPr="00D80782">
        <w:rPr>
          <w:rFonts w:ascii="Times New Roman" w:hAnsi="Times New Roman" w:cs="Times New Roman"/>
          <w:sz w:val="28"/>
          <w:szCs w:val="28"/>
          <w:lang w:val="en-GB"/>
        </w:rPr>
        <w:t>Opinion</w:t>
      </w:r>
      <w:r w:rsidR="00BF3127" w:rsidRPr="00D80782">
        <w:rPr>
          <w:rFonts w:ascii="Times New Roman" w:hAnsi="Times New Roman" w:cs="Times New Roman"/>
          <w:sz w:val="28"/>
          <w:szCs w:val="28"/>
          <w:lang w:val="en-GB"/>
        </w:rPr>
        <w:t xml:space="preserve"> No.</w:t>
      </w:r>
      <w:r w:rsidRPr="00D80782">
        <w:rPr>
          <w:rFonts w:ascii="Times New Roman" w:hAnsi="Times New Roman" w:cs="Times New Roman"/>
          <w:sz w:val="28"/>
          <w:szCs w:val="28"/>
          <w:lang w:val="en-GB"/>
        </w:rPr>
        <w:t> </w:t>
      </w:r>
      <w:r w:rsidR="00BF3127" w:rsidRPr="00D80782">
        <w:rPr>
          <w:rFonts w:ascii="Times New Roman" w:hAnsi="Times New Roman" w:cs="Times New Roman"/>
          <w:sz w:val="28"/>
          <w:szCs w:val="28"/>
          <w:lang w:val="en-GB"/>
        </w:rPr>
        <w:t>12(2009)] and the Consultative Council of European Prosecutors [</w:t>
      </w:r>
      <w:r w:rsidRPr="00D80782">
        <w:rPr>
          <w:rFonts w:ascii="Times New Roman" w:hAnsi="Times New Roman" w:cs="Times New Roman"/>
          <w:sz w:val="28"/>
          <w:szCs w:val="28"/>
          <w:lang w:val="en-GB"/>
        </w:rPr>
        <w:t>Opinion</w:t>
      </w:r>
      <w:r w:rsidR="00BF3127" w:rsidRPr="00D80782">
        <w:rPr>
          <w:rFonts w:ascii="Times New Roman" w:hAnsi="Times New Roman" w:cs="Times New Roman"/>
          <w:sz w:val="28"/>
          <w:szCs w:val="28"/>
          <w:lang w:val="en-GB"/>
        </w:rPr>
        <w:t xml:space="preserve"> No.</w:t>
      </w:r>
      <w:r w:rsidRPr="00D80782">
        <w:rPr>
          <w:rFonts w:ascii="Times New Roman" w:hAnsi="Times New Roman" w:cs="Times New Roman"/>
          <w:sz w:val="28"/>
          <w:szCs w:val="28"/>
          <w:lang w:val="en-GB"/>
        </w:rPr>
        <w:t> </w:t>
      </w:r>
      <w:r w:rsidR="00BF3127" w:rsidRPr="00D80782">
        <w:rPr>
          <w:rFonts w:ascii="Times New Roman" w:hAnsi="Times New Roman" w:cs="Times New Roman"/>
          <w:sz w:val="28"/>
          <w:szCs w:val="28"/>
          <w:lang w:val="en-GB"/>
        </w:rPr>
        <w:t>4(2009)].</w:t>
      </w:r>
    </w:p>
    <w:p w:rsidR="00FA7FDF" w:rsidRPr="00D80782" w:rsidRDefault="00FA7FDF" w:rsidP="00CE7204">
      <w:pPr>
        <w:ind w:right="-92"/>
        <w:rPr>
          <w:sz w:val="28"/>
          <w:szCs w:val="28"/>
          <w:lang w:val="en-GB"/>
        </w:rPr>
      </w:pPr>
    </w:p>
    <w:sectPr w:rsidR="00FA7FDF" w:rsidRPr="00D8078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51A" w:rsidRDefault="009D651A" w:rsidP="00786030">
      <w:r>
        <w:separator/>
      </w:r>
    </w:p>
  </w:endnote>
  <w:endnote w:type="continuationSeparator" w:id="0">
    <w:p w:rsidR="009D651A" w:rsidRDefault="009D651A"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51A" w:rsidRDefault="009D651A" w:rsidP="00786030">
      <w:r>
        <w:separator/>
      </w:r>
    </w:p>
  </w:footnote>
  <w:footnote w:type="continuationSeparator" w:id="0">
    <w:p w:rsidR="009D651A" w:rsidRDefault="009D651A"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11D14"/>
    <w:rsid w:val="00013097"/>
    <w:rsid w:val="000151A3"/>
    <w:rsid w:val="00017D90"/>
    <w:rsid w:val="000200A7"/>
    <w:rsid w:val="00023A8B"/>
    <w:rsid w:val="000339E2"/>
    <w:rsid w:val="00034ADC"/>
    <w:rsid w:val="000354BE"/>
    <w:rsid w:val="000460DF"/>
    <w:rsid w:val="00072DF8"/>
    <w:rsid w:val="00084C15"/>
    <w:rsid w:val="0008710F"/>
    <w:rsid w:val="00091C1E"/>
    <w:rsid w:val="000A0FA5"/>
    <w:rsid w:val="000A29A0"/>
    <w:rsid w:val="000A5096"/>
    <w:rsid w:val="000A7695"/>
    <w:rsid w:val="000B1DA5"/>
    <w:rsid w:val="000B48B1"/>
    <w:rsid w:val="000D1780"/>
    <w:rsid w:val="000D1B9A"/>
    <w:rsid w:val="000D2B7D"/>
    <w:rsid w:val="000E0336"/>
    <w:rsid w:val="000F2927"/>
    <w:rsid w:val="000F672C"/>
    <w:rsid w:val="000F6985"/>
    <w:rsid w:val="0010239A"/>
    <w:rsid w:val="001024FD"/>
    <w:rsid w:val="00103CA9"/>
    <w:rsid w:val="001201F5"/>
    <w:rsid w:val="00134359"/>
    <w:rsid w:val="00142DC5"/>
    <w:rsid w:val="0015415C"/>
    <w:rsid w:val="00154F96"/>
    <w:rsid w:val="00190233"/>
    <w:rsid w:val="001917EA"/>
    <w:rsid w:val="00192668"/>
    <w:rsid w:val="001933AA"/>
    <w:rsid w:val="001B056E"/>
    <w:rsid w:val="001B0AE8"/>
    <w:rsid w:val="001B1A42"/>
    <w:rsid w:val="001B1F2F"/>
    <w:rsid w:val="001B2174"/>
    <w:rsid w:val="001C2064"/>
    <w:rsid w:val="001C71B1"/>
    <w:rsid w:val="001E1344"/>
    <w:rsid w:val="001F17CE"/>
    <w:rsid w:val="00202ED0"/>
    <w:rsid w:val="00203186"/>
    <w:rsid w:val="0020799E"/>
    <w:rsid w:val="00213752"/>
    <w:rsid w:val="0021386F"/>
    <w:rsid w:val="002152D3"/>
    <w:rsid w:val="00216089"/>
    <w:rsid w:val="00234BBC"/>
    <w:rsid w:val="002355AC"/>
    <w:rsid w:val="002361BE"/>
    <w:rsid w:val="00241A88"/>
    <w:rsid w:val="00246177"/>
    <w:rsid w:val="00246BEE"/>
    <w:rsid w:val="00247AD2"/>
    <w:rsid w:val="00253797"/>
    <w:rsid w:val="002708C0"/>
    <w:rsid w:val="0027406A"/>
    <w:rsid w:val="002753BE"/>
    <w:rsid w:val="00286F1A"/>
    <w:rsid w:val="00290CC3"/>
    <w:rsid w:val="00292E69"/>
    <w:rsid w:val="00296A67"/>
    <w:rsid w:val="00296CB4"/>
    <w:rsid w:val="002974C5"/>
    <w:rsid w:val="002A6B51"/>
    <w:rsid w:val="002B306C"/>
    <w:rsid w:val="002B4073"/>
    <w:rsid w:val="002C55D0"/>
    <w:rsid w:val="002D0053"/>
    <w:rsid w:val="002D4E25"/>
    <w:rsid w:val="002E29F7"/>
    <w:rsid w:val="002E4860"/>
    <w:rsid w:val="002E6F4D"/>
    <w:rsid w:val="002E71A0"/>
    <w:rsid w:val="002E7A89"/>
    <w:rsid w:val="002F57DF"/>
    <w:rsid w:val="002F77F9"/>
    <w:rsid w:val="003079DD"/>
    <w:rsid w:val="0031187C"/>
    <w:rsid w:val="003237BC"/>
    <w:rsid w:val="00325EF4"/>
    <w:rsid w:val="00327AA8"/>
    <w:rsid w:val="0033508B"/>
    <w:rsid w:val="003415B0"/>
    <w:rsid w:val="00354DD9"/>
    <w:rsid w:val="00355C7F"/>
    <w:rsid w:val="00363B78"/>
    <w:rsid w:val="00364968"/>
    <w:rsid w:val="00373E47"/>
    <w:rsid w:val="00374DC3"/>
    <w:rsid w:val="00384778"/>
    <w:rsid w:val="0039154C"/>
    <w:rsid w:val="00397EF9"/>
    <w:rsid w:val="003D17E9"/>
    <w:rsid w:val="003D2BFF"/>
    <w:rsid w:val="003E191B"/>
    <w:rsid w:val="003F0F01"/>
    <w:rsid w:val="003F22AB"/>
    <w:rsid w:val="003F29E5"/>
    <w:rsid w:val="003F7155"/>
    <w:rsid w:val="004057A4"/>
    <w:rsid w:val="00410148"/>
    <w:rsid w:val="00412B6B"/>
    <w:rsid w:val="00422ECA"/>
    <w:rsid w:val="00424E25"/>
    <w:rsid w:val="00431FFD"/>
    <w:rsid w:val="004331FF"/>
    <w:rsid w:val="00440EC6"/>
    <w:rsid w:val="0044238F"/>
    <w:rsid w:val="0045541F"/>
    <w:rsid w:val="00465098"/>
    <w:rsid w:val="00467A21"/>
    <w:rsid w:val="00471F97"/>
    <w:rsid w:val="00495530"/>
    <w:rsid w:val="004A5F5C"/>
    <w:rsid w:val="004A6556"/>
    <w:rsid w:val="004B41D1"/>
    <w:rsid w:val="004C18BF"/>
    <w:rsid w:val="004C6612"/>
    <w:rsid w:val="004D29F7"/>
    <w:rsid w:val="004D4E9C"/>
    <w:rsid w:val="004E7A5F"/>
    <w:rsid w:val="004F047E"/>
    <w:rsid w:val="004F3993"/>
    <w:rsid w:val="00502951"/>
    <w:rsid w:val="005128FD"/>
    <w:rsid w:val="00512A15"/>
    <w:rsid w:val="00515E68"/>
    <w:rsid w:val="00523C3F"/>
    <w:rsid w:val="005320A5"/>
    <w:rsid w:val="00534DDF"/>
    <w:rsid w:val="00543C1C"/>
    <w:rsid w:val="00550441"/>
    <w:rsid w:val="00563CA1"/>
    <w:rsid w:val="00567806"/>
    <w:rsid w:val="005705A2"/>
    <w:rsid w:val="00570F0E"/>
    <w:rsid w:val="0057514E"/>
    <w:rsid w:val="00584600"/>
    <w:rsid w:val="00593BB9"/>
    <w:rsid w:val="005A709E"/>
    <w:rsid w:val="005C0B06"/>
    <w:rsid w:val="005C1862"/>
    <w:rsid w:val="005C5724"/>
    <w:rsid w:val="005C64DC"/>
    <w:rsid w:val="005D6D4F"/>
    <w:rsid w:val="005E2F18"/>
    <w:rsid w:val="005F102B"/>
    <w:rsid w:val="005F3EF2"/>
    <w:rsid w:val="005F4F51"/>
    <w:rsid w:val="00605125"/>
    <w:rsid w:val="00605614"/>
    <w:rsid w:val="00611044"/>
    <w:rsid w:val="00626572"/>
    <w:rsid w:val="00634EF6"/>
    <w:rsid w:val="006476C6"/>
    <w:rsid w:val="00650497"/>
    <w:rsid w:val="0065172C"/>
    <w:rsid w:val="0065407A"/>
    <w:rsid w:val="00667394"/>
    <w:rsid w:val="006702EC"/>
    <w:rsid w:val="00677F55"/>
    <w:rsid w:val="00680E1C"/>
    <w:rsid w:val="006907E4"/>
    <w:rsid w:val="00696B07"/>
    <w:rsid w:val="00697A30"/>
    <w:rsid w:val="006B223B"/>
    <w:rsid w:val="006C7457"/>
    <w:rsid w:val="006D3329"/>
    <w:rsid w:val="006D3698"/>
    <w:rsid w:val="006F147C"/>
    <w:rsid w:val="006F1C30"/>
    <w:rsid w:val="006F7B84"/>
    <w:rsid w:val="00711AF8"/>
    <w:rsid w:val="00724510"/>
    <w:rsid w:val="007260AA"/>
    <w:rsid w:val="00726AB5"/>
    <w:rsid w:val="007308EA"/>
    <w:rsid w:val="00732322"/>
    <w:rsid w:val="00732F4E"/>
    <w:rsid w:val="00733C2A"/>
    <w:rsid w:val="00737FEE"/>
    <w:rsid w:val="00743C57"/>
    <w:rsid w:val="00744C72"/>
    <w:rsid w:val="00751605"/>
    <w:rsid w:val="00753102"/>
    <w:rsid w:val="00754D33"/>
    <w:rsid w:val="00756B58"/>
    <w:rsid w:val="00756E2C"/>
    <w:rsid w:val="00757019"/>
    <w:rsid w:val="007606F6"/>
    <w:rsid w:val="0076201A"/>
    <w:rsid w:val="00766138"/>
    <w:rsid w:val="00782141"/>
    <w:rsid w:val="00782868"/>
    <w:rsid w:val="00783C3B"/>
    <w:rsid w:val="00786030"/>
    <w:rsid w:val="00787705"/>
    <w:rsid w:val="00791B51"/>
    <w:rsid w:val="00796C65"/>
    <w:rsid w:val="0079764F"/>
    <w:rsid w:val="007A2229"/>
    <w:rsid w:val="007A31A7"/>
    <w:rsid w:val="007A58A9"/>
    <w:rsid w:val="007B1FC5"/>
    <w:rsid w:val="007B2D8A"/>
    <w:rsid w:val="007B7215"/>
    <w:rsid w:val="007C08A9"/>
    <w:rsid w:val="007D6FE4"/>
    <w:rsid w:val="007E0FA5"/>
    <w:rsid w:val="007E1DBE"/>
    <w:rsid w:val="007E5589"/>
    <w:rsid w:val="007F1C60"/>
    <w:rsid w:val="007F3C93"/>
    <w:rsid w:val="007F7AA7"/>
    <w:rsid w:val="00806468"/>
    <w:rsid w:val="008121D6"/>
    <w:rsid w:val="0082146E"/>
    <w:rsid w:val="00826A7A"/>
    <w:rsid w:val="00836A38"/>
    <w:rsid w:val="00843463"/>
    <w:rsid w:val="00870CD7"/>
    <w:rsid w:val="00876160"/>
    <w:rsid w:val="008778CF"/>
    <w:rsid w:val="00880A08"/>
    <w:rsid w:val="0088521F"/>
    <w:rsid w:val="00887EE4"/>
    <w:rsid w:val="00896413"/>
    <w:rsid w:val="008A361D"/>
    <w:rsid w:val="008B4D20"/>
    <w:rsid w:val="008C02ED"/>
    <w:rsid w:val="008C1C1D"/>
    <w:rsid w:val="008C20B2"/>
    <w:rsid w:val="008C2E65"/>
    <w:rsid w:val="008C760C"/>
    <w:rsid w:val="008E4299"/>
    <w:rsid w:val="008E57B6"/>
    <w:rsid w:val="008E77E4"/>
    <w:rsid w:val="008E7EEB"/>
    <w:rsid w:val="008F0EC8"/>
    <w:rsid w:val="008F2657"/>
    <w:rsid w:val="008F2A16"/>
    <w:rsid w:val="008F4FF4"/>
    <w:rsid w:val="008F5C27"/>
    <w:rsid w:val="00900388"/>
    <w:rsid w:val="00902E7A"/>
    <w:rsid w:val="0090695C"/>
    <w:rsid w:val="00906BD6"/>
    <w:rsid w:val="009073F1"/>
    <w:rsid w:val="00914AA3"/>
    <w:rsid w:val="009244AA"/>
    <w:rsid w:val="00926ACB"/>
    <w:rsid w:val="00930C66"/>
    <w:rsid w:val="00930E35"/>
    <w:rsid w:val="009312B6"/>
    <w:rsid w:val="00937EB1"/>
    <w:rsid w:val="0094311B"/>
    <w:rsid w:val="00952766"/>
    <w:rsid w:val="009573CB"/>
    <w:rsid w:val="00957B2E"/>
    <w:rsid w:val="009608C8"/>
    <w:rsid w:val="00970CAF"/>
    <w:rsid w:val="00974E51"/>
    <w:rsid w:val="00984EF3"/>
    <w:rsid w:val="00992FC7"/>
    <w:rsid w:val="00993AA2"/>
    <w:rsid w:val="00993EB7"/>
    <w:rsid w:val="009967DC"/>
    <w:rsid w:val="009B3F8A"/>
    <w:rsid w:val="009B4C02"/>
    <w:rsid w:val="009C3AFE"/>
    <w:rsid w:val="009C6175"/>
    <w:rsid w:val="009D5156"/>
    <w:rsid w:val="009D651A"/>
    <w:rsid w:val="009D7DCC"/>
    <w:rsid w:val="009E224B"/>
    <w:rsid w:val="009E35A1"/>
    <w:rsid w:val="009E5585"/>
    <w:rsid w:val="00A0543B"/>
    <w:rsid w:val="00A16FB8"/>
    <w:rsid w:val="00A16FDC"/>
    <w:rsid w:val="00A275B1"/>
    <w:rsid w:val="00A276D2"/>
    <w:rsid w:val="00A33B0F"/>
    <w:rsid w:val="00A35E91"/>
    <w:rsid w:val="00A453EA"/>
    <w:rsid w:val="00A468DA"/>
    <w:rsid w:val="00A46D0D"/>
    <w:rsid w:val="00A621C7"/>
    <w:rsid w:val="00A65F0D"/>
    <w:rsid w:val="00A809A6"/>
    <w:rsid w:val="00A84692"/>
    <w:rsid w:val="00AA7448"/>
    <w:rsid w:val="00AB0CAF"/>
    <w:rsid w:val="00AB39B9"/>
    <w:rsid w:val="00AC1AE2"/>
    <w:rsid w:val="00AC4041"/>
    <w:rsid w:val="00AC4908"/>
    <w:rsid w:val="00AD079C"/>
    <w:rsid w:val="00AD0E2C"/>
    <w:rsid w:val="00AD1C3B"/>
    <w:rsid w:val="00AD2B6F"/>
    <w:rsid w:val="00AD4B5A"/>
    <w:rsid w:val="00AD4C8A"/>
    <w:rsid w:val="00AE56EF"/>
    <w:rsid w:val="00AE6266"/>
    <w:rsid w:val="00AF0EAE"/>
    <w:rsid w:val="00AF358F"/>
    <w:rsid w:val="00AF5310"/>
    <w:rsid w:val="00B01904"/>
    <w:rsid w:val="00B06FA4"/>
    <w:rsid w:val="00B2656D"/>
    <w:rsid w:val="00B30FA6"/>
    <w:rsid w:val="00B3428F"/>
    <w:rsid w:val="00B45461"/>
    <w:rsid w:val="00B45797"/>
    <w:rsid w:val="00B45EE7"/>
    <w:rsid w:val="00B5150B"/>
    <w:rsid w:val="00B56663"/>
    <w:rsid w:val="00B65FC6"/>
    <w:rsid w:val="00B7008D"/>
    <w:rsid w:val="00B71B2D"/>
    <w:rsid w:val="00B71CE1"/>
    <w:rsid w:val="00B7793D"/>
    <w:rsid w:val="00B83398"/>
    <w:rsid w:val="00B91E62"/>
    <w:rsid w:val="00B972C6"/>
    <w:rsid w:val="00BA01A6"/>
    <w:rsid w:val="00BA363F"/>
    <w:rsid w:val="00BC6501"/>
    <w:rsid w:val="00BD0420"/>
    <w:rsid w:val="00BD6B31"/>
    <w:rsid w:val="00BD6C48"/>
    <w:rsid w:val="00BE60C4"/>
    <w:rsid w:val="00BF3127"/>
    <w:rsid w:val="00BF3A28"/>
    <w:rsid w:val="00BF6922"/>
    <w:rsid w:val="00C04D23"/>
    <w:rsid w:val="00C15B79"/>
    <w:rsid w:val="00C1702C"/>
    <w:rsid w:val="00C21957"/>
    <w:rsid w:val="00C453AB"/>
    <w:rsid w:val="00C51238"/>
    <w:rsid w:val="00C52781"/>
    <w:rsid w:val="00C5477E"/>
    <w:rsid w:val="00C570ED"/>
    <w:rsid w:val="00C63A1D"/>
    <w:rsid w:val="00C65005"/>
    <w:rsid w:val="00C71C29"/>
    <w:rsid w:val="00C75DF8"/>
    <w:rsid w:val="00C81A61"/>
    <w:rsid w:val="00C94C15"/>
    <w:rsid w:val="00CA70EB"/>
    <w:rsid w:val="00CB641B"/>
    <w:rsid w:val="00CC2BC1"/>
    <w:rsid w:val="00CC5896"/>
    <w:rsid w:val="00CD36A2"/>
    <w:rsid w:val="00CD4B52"/>
    <w:rsid w:val="00CD789E"/>
    <w:rsid w:val="00CD7AD2"/>
    <w:rsid w:val="00CE33AF"/>
    <w:rsid w:val="00CE36DC"/>
    <w:rsid w:val="00CE64E8"/>
    <w:rsid w:val="00CE7204"/>
    <w:rsid w:val="00CF02EB"/>
    <w:rsid w:val="00D13052"/>
    <w:rsid w:val="00D2289B"/>
    <w:rsid w:val="00D24C17"/>
    <w:rsid w:val="00D35522"/>
    <w:rsid w:val="00D4258E"/>
    <w:rsid w:val="00D5122E"/>
    <w:rsid w:val="00D5236D"/>
    <w:rsid w:val="00D62472"/>
    <w:rsid w:val="00D640B9"/>
    <w:rsid w:val="00D670A5"/>
    <w:rsid w:val="00D74A88"/>
    <w:rsid w:val="00D80782"/>
    <w:rsid w:val="00D83E7B"/>
    <w:rsid w:val="00D85A0A"/>
    <w:rsid w:val="00D87277"/>
    <w:rsid w:val="00DA08C7"/>
    <w:rsid w:val="00DA552F"/>
    <w:rsid w:val="00DA5D60"/>
    <w:rsid w:val="00DA6639"/>
    <w:rsid w:val="00DB19E2"/>
    <w:rsid w:val="00DB43F5"/>
    <w:rsid w:val="00DB6427"/>
    <w:rsid w:val="00DC5E29"/>
    <w:rsid w:val="00DC6136"/>
    <w:rsid w:val="00DD746F"/>
    <w:rsid w:val="00DD766B"/>
    <w:rsid w:val="00DE15B2"/>
    <w:rsid w:val="00DE1F14"/>
    <w:rsid w:val="00DE2F62"/>
    <w:rsid w:val="00DE3EDA"/>
    <w:rsid w:val="00E01688"/>
    <w:rsid w:val="00E03BF4"/>
    <w:rsid w:val="00E10EB1"/>
    <w:rsid w:val="00E13F9F"/>
    <w:rsid w:val="00E210B0"/>
    <w:rsid w:val="00E279DE"/>
    <w:rsid w:val="00E30728"/>
    <w:rsid w:val="00E42D7F"/>
    <w:rsid w:val="00E47C13"/>
    <w:rsid w:val="00E542CC"/>
    <w:rsid w:val="00E55AA7"/>
    <w:rsid w:val="00E562A6"/>
    <w:rsid w:val="00E60FE4"/>
    <w:rsid w:val="00E652CE"/>
    <w:rsid w:val="00E74B26"/>
    <w:rsid w:val="00E75D87"/>
    <w:rsid w:val="00E85315"/>
    <w:rsid w:val="00E90F89"/>
    <w:rsid w:val="00E955C6"/>
    <w:rsid w:val="00EA6244"/>
    <w:rsid w:val="00EB69B5"/>
    <w:rsid w:val="00EB6F0F"/>
    <w:rsid w:val="00EB704E"/>
    <w:rsid w:val="00EB7785"/>
    <w:rsid w:val="00ED0F8F"/>
    <w:rsid w:val="00ED255B"/>
    <w:rsid w:val="00EE0D49"/>
    <w:rsid w:val="00EE1A93"/>
    <w:rsid w:val="00EE3782"/>
    <w:rsid w:val="00EE73B2"/>
    <w:rsid w:val="00F146DB"/>
    <w:rsid w:val="00F23559"/>
    <w:rsid w:val="00F252A8"/>
    <w:rsid w:val="00F31154"/>
    <w:rsid w:val="00F37E99"/>
    <w:rsid w:val="00F42DD7"/>
    <w:rsid w:val="00F53B7A"/>
    <w:rsid w:val="00F55F3E"/>
    <w:rsid w:val="00F6310A"/>
    <w:rsid w:val="00F64852"/>
    <w:rsid w:val="00F6578B"/>
    <w:rsid w:val="00F72ED1"/>
    <w:rsid w:val="00F75FB9"/>
    <w:rsid w:val="00F7712A"/>
    <w:rsid w:val="00F84D82"/>
    <w:rsid w:val="00FA4950"/>
    <w:rsid w:val="00FA7FDF"/>
    <w:rsid w:val="00FB46C6"/>
    <w:rsid w:val="00FC0882"/>
    <w:rsid w:val="00FC4513"/>
    <w:rsid w:val="00FD1A16"/>
    <w:rsid w:val="00FD2964"/>
    <w:rsid w:val="00FD73DE"/>
    <w:rsid w:val="00FE13FD"/>
    <w:rsid w:val="00FE4F77"/>
    <w:rsid w:val="00FE7E68"/>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9102"/>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Balloon Text"/>
    <w:basedOn w:val="a"/>
    <w:link w:val="af"/>
    <w:uiPriority w:val="99"/>
    <w:semiHidden/>
    <w:unhideWhenUsed/>
    <w:rsid w:val="00424E25"/>
    <w:rPr>
      <w:rFonts w:ascii="Segoe UI" w:hAnsi="Segoe UI" w:cs="Segoe UI"/>
      <w:sz w:val="18"/>
      <w:szCs w:val="18"/>
    </w:rPr>
  </w:style>
  <w:style w:type="character" w:customStyle="1" w:styleId="af">
    <w:name w:val="Текст у виносці Знак"/>
    <w:basedOn w:val="a0"/>
    <w:link w:val="ae"/>
    <w:uiPriority w:val="99"/>
    <w:semiHidden/>
    <w:rsid w:val="00424E25"/>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 w:id="14127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B0BC-D935-490F-8E4F-28CFE7FB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6346</Words>
  <Characters>3618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І. Кравченко</cp:lastModifiedBy>
  <cp:revision>4</cp:revision>
  <cp:lastPrinted>2023-03-09T10:23:00Z</cp:lastPrinted>
  <dcterms:created xsi:type="dcterms:W3CDTF">2023-03-13T07:29:00Z</dcterms:created>
  <dcterms:modified xsi:type="dcterms:W3CDTF">2023-03-13T08:13:00Z</dcterms:modified>
</cp:coreProperties>
</file>