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8"/>
        <w:gridCol w:w="704"/>
        <w:gridCol w:w="15"/>
        <w:gridCol w:w="265"/>
        <w:gridCol w:w="18"/>
        <w:gridCol w:w="271"/>
        <w:gridCol w:w="168"/>
        <w:gridCol w:w="1401"/>
        <w:gridCol w:w="152"/>
        <w:gridCol w:w="2654"/>
        <w:gridCol w:w="860"/>
        <w:gridCol w:w="233"/>
        <w:gridCol w:w="29"/>
        <w:gridCol w:w="163"/>
        <w:gridCol w:w="1390"/>
        <w:gridCol w:w="117"/>
        <w:gridCol w:w="398"/>
        <w:gridCol w:w="199"/>
        <w:gridCol w:w="298"/>
        <w:gridCol w:w="818"/>
        <w:gridCol w:w="207"/>
        <w:gridCol w:w="1493"/>
        <w:gridCol w:w="183"/>
        <w:gridCol w:w="137"/>
        <w:gridCol w:w="269"/>
        <w:gridCol w:w="88"/>
        <w:gridCol w:w="13"/>
        <w:gridCol w:w="1010"/>
        <w:gridCol w:w="46"/>
        <w:gridCol w:w="67"/>
        <w:gridCol w:w="83"/>
        <w:gridCol w:w="252"/>
        <w:gridCol w:w="303"/>
        <w:gridCol w:w="156"/>
        <w:gridCol w:w="546"/>
        <w:gridCol w:w="91"/>
        <w:gridCol w:w="155"/>
        <w:gridCol w:w="6"/>
        <w:gridCol w:w="14"/>
        <w:gridCol w:w="88"/>
        <w:gridCol w:w="1568"/>
        <w:gridCol w:w="1266"/>
        <w:gridCol w:w="387"/>
        <w:gridCol w:w="1165"/>
        <w:gridCol w:w="298"/>
        <w:gridCol w:w="180"/>
        <w:gridCol w:w="167"/>
        <w:gridCol w:w="29"/>
        <w:gridCol w:w="262"/>
        <w:gridCol w:w="322"/>
        <w:gridCol w:w="261"/>
        <w:gridCol w:w="379"/>
        <w:gridCol w:w="258"/>
      </w:tblGrid>
      <w:tr w:rsidR="00E653E3" w:rsidTr="00B54250">
        <w:trPr>
          <w:trHeight w:hRule="exact" w:val="8"/>
        </w:trPr>
        <w:tc>
          <w:tcPr>
            <w:tcW w:w="438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704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1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4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F4C71" w:rsidRDefault="00DF4C7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240" w:type="dxa"/>
            <w:gridSpan w:val="10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5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6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3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RPr="00426DD9" w:rsidTr="00B54250">
        <w:trPr>
          <w:gridAfter w:val="11"/>
          <w:wAfter w:w="3708" w:type="dxa"/>
          <w:trHeight w:hRule="exact" w:val="7"/>
        </w:trPr>
        <w:tc>
          <w:tcPr>
            <w:tcW w:w="6946" w:type="dxa"/>
            <w:gridSpan w:val="12"/>
            <w:vMerge w:val="restart"/>
            <w:tcMar>
              <w:left w:w="34" w:type="dxa"/>
              <w:right w:w="34" w:type="dxa"/>
            </w:tcMar>
          </w:tcPr>
          <w:p w:rsidR="00DF4C71" w:rsidRPr="00E653E3" w:rsidRDefault="00E653E3" w:rsidP="00426D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426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БЮДЖЕТНИЙ ЗАПИТ</w:t>
            </w:r>
          </w:p>
        </w:tc>
        <w:tc>
          <w:tcPr>
            <w:tcW w:w="425" w:type="dxa"/>
            <w:gridSpan w:val="3"/>
            <w:vMerge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F4C71" w:rsidRPr="00E653E3" w:rsidRDefault="00DF4C71" w:rsidP="00E653E3">
            <w:pPr>
              <w:spacing w:after="0" w:line="0" w:lineRule="auto"/>
              <w:jc w:val="center"/>
              <w:rPr>
                <w:sz w:val="1"/>
                <w:szCs w:val="1"/>
                <w:lang w:val="ru-RU"/>
              </w:rPr>
            </w:pPr>
          </w:p>
        </w:tc>
        <w:tc>
          <w:tcPr>
            <w:tcW w:w="11261" w:type="dxa"/>
            <w:gridSpan w:val="28"/>
            <w:tcMar>
              <w:left w:w="34" w:type="dxa"/>
              <w:right w:w="34" w:type="dxa"/>
            </w:tcMar>
          </w:tcPr>
          <w:p w:rsidR="00DF4C71" w:rsidRPr="00E653E3" w:rsidRDefault="00DF4C71" w:rsidP="00E653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F4C71" w:rsidRPr="00B54250" w:rsidTr="00426DD9">
        <w:trPr>
          <w:gridAfter w:val="27"/>
          <w:wAfter w:w="9372" w:type="dxa"/>
          <w:trHeight w:hRule="exact" w:val="542"/>
        </w:trPr>
        <w:tc>
          <w:tcPr>
            <w:tcW w:w="6946" w:type="dxa"/>
            <w:gridSpan w:val="12"/>
            <w:vMerge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34" w:type="dxa"/>
            <w:gridSpan w:val="14"/>
            <w:tcMar>
              <w:left w:w="34" w:type="dxa"/>
              <w:right w:w="34" w:type="dxa"/>
            </w:tcMar>
          </w:tcPr>
          <w:p w:rsidR="00DF4C71" w:rsidRPr="00E653E3" w:rsidRDefault="00426DD9" w:rsidP="00426DD9">
            <w:pPr>
              <w:spacing w:after="0" w:line="238" w:lineRule="auto"/>
              <w:ind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2025–2027 РОКИ,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БЗ-2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r w:rsidRPr="00E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ндивідуальна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8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653E3" w:rsidRPr="00B54250" w:rsidTr="00B54250">
        <w:trPr>
          <w:trHeight w:hRule="exact" w:val="805"/>
        </w:trPr>
        <w:tc>
          <w:tcPr>
            <w:tcW w:w="438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4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9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01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2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514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" w:type="dxa"/>
            <w:gridSpan w:val="3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240" w:type="dxa"/>
            <w:gridSpan w:val="10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0" w:type="dxa"/>
            <w:gridSpan w:val="3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56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  <w:gridSpan w:val="5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92" w:type="dxa"/>
            <w:gridSpan w:val="3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56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53" w:type="dxa"/>
            <w:gridSpan w:val="2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43" w:type="dxa"/>
            <w:gridSpan w:val="3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7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62" w:type="dxa"/>
            <w:gridSpan w:val="3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8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F4C71" w:rsidTr="00426DD9">
        <w:trPr>
          <w:gridAfter w:val="13"/>
          <w:wAfter w:w="6542" w:type="dxa"/>
          <w:trHeight w:hRule="exact" w:val="284"/>
        </w:trPr>
        <w:tc>
          <w:tcPr>
            <w:tcW w:w="438" w:type="dxa"/>
            <w:gridSpan w:val="2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97" w:type="dxa"/>
            <w:gridSpan w:val="3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63" w:type="dxa"/>
            <w:gridSpan w:val="4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RPr="00B54250" w:rsidTr="00426DD9">
        <w:trPr>
          <w:gridAfter w:val="13"/>
          <w:wAfter w:w="6542" w:type="dxa"/>
          <w:trHeight w:hRule="exact" w:val="284"/>
        </w:trPr>
        <w:tc>
          <w:tcPr>
            <w:tcW w:w="438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097" w:type="dxa"/>
            <w:gridSpan w:val="35"/>
            <w:tcMar>
              <w:left w:w="34" w:type="dxa"/>
              <w:right w:w="34" w:type="dxa"/>
            </w:tcMar>
          </w:tcPr>
          <w:p w:rsidR="00DF4C71" w:rsidRPr="00E653E3" w:rsidRDefault="00E653E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відповідального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виконавця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)</w:t>
            </w:r>
          </w:p>
        </w:tc>
        <w:tc>
          <w:tcPr>
            <w:tcW w:w="263" w:type="dxa"/>
            <w:gridSpan w:val="4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DF4C71" w:rsidRPr="00B54250" w:rsidTr="00426DD9">
        <w:trPr>
          <w:gridAfter w:val="13"/>
          <w:wAfter w:w="6542" w:type="dxa"/>
          <w:trHeight w:hRule="exact" w:val="341"/>
        </w:trPr>
        <w:tc>
          <w:tcPr>
            <w:tcW w:w="438" w:type="dxa"/>
            <w:gridSpan w:val="2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0801010</w:t>
            </w:r>
          </w:p>
        </w:tc>
        <w:tc>
          <w:tcPr>
            <w:tcW w:w="168" w:type="dxa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01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152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103" w:type="dxa"/>
            <w:gridSpan w:val="2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юрисдикції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263" w:type="dxa"/>
            <w:gridSpan w:val="4"/>
            <w:tcMar>
              <w:left w:w="34" w:type="dxa"/>
              <w:right w:w="34" w:type="dxa"/>
            </w:tcMar>
            <w:vAlign w:val="bottom"/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DF4C71" w:rsidTr="00426DD9">
        <w:trPr>
          <w:gridAfter w:val="13"/>
          <w:wAfter w:w="6542" w:type="dxa"/>
          <w:trHeight w:hRule="exact" w:val="283"/>
        </w:trPr>
        <w:tc>
          <w:tcPr>
            <w:tcW w:w="438" w:type="dxa"/>
            <w:gridSpan w:val="2"/>
            <w:tcMar>
              <w:left w:w="34" w:type="dxa"/>
              <w:right w:w="34" w:type="dxa"/>
            </w:tcMar>
            <w:vAlign w:val="bottom"/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273" w:type="dxa"/>
            <w:gridSpan w:val="5"/>
            <w:tcMar>
              <w:left w:w="34" w:type="dxa"/>
              <w:right w:w="34" w:type="dxa"/>
            </w:tcMar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(КПКВК)</w:t>
            </w:r>
          </w:p>
        </w:tc>
        <w:tc>
          <w:tcPr>
            <w:tcW w:w="168" w:type="dxa"/>
            <w:tcMar>
              <w:left w:w="34" w:type="dxa"/>
              <w:right w:w="34" w:type="dxa"/>
            </w:tcMar>
            <w:vAlign w:val="bottom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401" w:type="dxa"/>
            <w:tcMar>
              <w:left w:w="34" w:type="dxa"/>
              <w:right w:w="34" w:type="dxa"/>
            </w:tcMar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(КФКВК)</w:t>
            </w:r>
          </w:p>
        </w:tc>
        <w:tc>
          <w:tcPr>
            <w:tcW w:w="152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103" w:type="dxa"/>
            <w:gridSpan w:val="27"/>
            <w:tcMar>
              <w:left w:w="34" w:type="dxa"/>
              <w:right w:w="34" w:type="dxa"/>
            </w:tcMar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dxa"/>
            <w:gridSpan w:val="4"/>
            <w:tcMar>
              <w:left w:w="34" w:type="dxa"/>
              <w:right w:w="34" w:type="dxa"/>
            </w:tcMar>
            <w:vAlign w:val="bottom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F4C71" w:rsidTr="00B54250">
        <w:trPr>
          <w:gridAfter w:val="2"/>
          <w:wAfter w:w="637" w:type="dxa"/>
          <w:trHeight w:hRule="exact" w:val="421"/>
        </w:trPr>
        <w:tc>
          <w:tcPr>
            <w:tcW w:w="6946" w:type="dxa"/>
            <w:gridSpan w:val="12"/>
            <w:tcMar>
              <w:left w:w="34" w:type="dxa"/>
              <w:right w:w="34" w:type="dxa"/>
            </w:tcMar>
            <w:vAlign w:val="center"/>
          </w:tcPr>
          <w:p w:rsidR="00DF4C71" w:rsidRDefault="00426D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spellEnd"/>
            <w:r w:rsid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бюджету</w:t>
            </w:r>
            <w:proofErr w:type="spellEnd"/>
          </w:p>
        </w:tc>
        <w:tc>
          <w:tcPr>
            <w:tcW w:w="425" w:type="dxa"/>
            <w:gridSpan w:val="3"/>
            <w:shd w:val="clear" w:color="FFFFFF" w:fill="DCDCDC"/>
            <w:tcMar>
              <w:left w:w="4" w:type="dxa"/>
              <w:right w:w="4" w:type="dxa"/>
            </w:tcMar>
          </w:tcPr>
          <w:p w:rsidR="00DF4C71" w:rsidRDefault="00E653E3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19075" cy="219075"/>
                  <wp:effectExtent l="0" t="0" r="9525" b="9525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5" cy="2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19"/>
            <w:tcMar>
              <w:left w:w="34" w:type="dxa"/>
              <w:right w:w="34" w:type="dxa"/>
            </w:tcMar>
            <w:vAlign w:val="center"/>
          </w:tcPr>
          <w:p w:rsidR="00DF4C71" w:rsidRPr="00B54250" w:rsidRDefault="00B542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426DD9"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="00426DD9"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6DD9"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кредитів</w:t>
            </w:r>
            <w:proofErr w:type="spellEnd"/>
            <w:r w:rsidR="00426DD9"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державного бюджету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6787F7CA" wp14:editId="6639E53C">
                  <wp:extent cx="209550" cy="209550"/>
                  <wp:effectExtent l="0" t="0" r="0" b="0"/>
                  <wp:docPr id="1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4" cy="2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11"/>
            <w:tcMar>
              <w:left w:w="34" w:type="dxa"/>
              <w:right w:w="34" w:type="dxa"/>
            </w:tcMar>
          </w:tcPr>
          <w:p w:rsidR="00DF4C71" w:rsidRPr="00E653E3" w:rsidRDefault="00DF4C71" w:rsidP="00426DD9">
            <w:pPr>
              <w:spacing w:before="15" w:after="15" w:line="238" w:lineRule="auto"/>
              <w:ind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F4C71" w:rsidRDefault="00E653E3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gridSpan w:val="5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653E3" w:rsidTr="00B54250">
        <w:trPr>
          <w:trHeight w:hRule="exact" w:val="226"/>
        </w:trPr>
        <w:tc>
          <w:tcPr>
            <w:tcW w:w="438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1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4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0" w:type="dxa"/>
            <w:gridSpan w:val="10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5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6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3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RPr="00B54250" w:rsidTr="00426DD9">
        <w:trPr>
          <w:gridAfter w:val="13"/>
          <w:wAfter w:w="6542" w:type="dxa"/>
          <w:trHeight w:hRule="exact" w:val="283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Ціль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політики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мета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F4C71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політики</w:t>
            </w:r>
            <w:proofErr w:type="spellEnd"/>
          </w:p>
        </w:tc>
      </w:tr>
      <w:tr w:rsidR="00DF4C71" w:rsidRPr="00B54250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верховенства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DF4C71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</w:tr>
      <w:tr w:rsidR="00DF4C71" w:rsidRPr="00B54250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дотримання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 та свобод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людини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F4C71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</w:tr>
      <w:tr w:rsidR="00DF4C71" w:rsidRPr="00B54250" w:rsidTr="00426DD9">
        <w:trPr>
          <w:gridAfter w:val="13"/>
          <w:wAfter w:w="6542" w:type="dxa"/>
          <w:trHeight w:hRule="exact" w:val="627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палати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сенатів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колегій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оптимізація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розгляду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клопотань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конституційному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провадженні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F4C71" w:rsidRPr="00B54250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Утвердження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інституту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скарги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дієвого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засобу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людини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F4C71" w:rsidRPr="00B54250" w:rsidTr="00426DD9">
        <w:trPr>
          <w:gridAfter w:val="13"/>
          <w:wAfter w:w="6542" w:type="dxa"/>
          <w:trHeight w:hRule="exact" w:val="341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 державного органу і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права.</w:t>
            </w:r>
          </w:p>
        </w:tc>
      </w:tr>
      <w:tr w:rsidR="00DF4C71" w:rsidRPr="00B54250" w:rsidTr="00426DD9">
        <w:trPr>
          <w:gridAfter w:val="13"/>
          <w:wAfter w:w="6542" w:type="dxa"/>
          <w:trHeight w:hRule="exact" w:val="283"/>
        </w:trPr>
        <w:tc>
          <w:tcPr>
            <w:tcW w:w="1142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804" w:type="dxa"/>
            <w:gridSpan w:val="9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4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2037" w:type="dxa"/>
            <w:gridSpan w:val="6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gridSpan w:val="7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gridSpan w:val="10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DF4C71" w:rsidRPr="00B54250" w:rsidTr="00426DD9">
        <w:trPr>
          <w:gridAfter w:val="13"/>
          <w:wAfter w:w="6542" w:type="dxa"/>
          <w:trHeight w:hRule="exact" w:val="283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F4C71" w:rsidTr="00426DD9">
        <w:trPr>
          <w:gridAfter w:val="13"/>
          <w:wAfter w:w="6542" w:type="dxa"/>
          <w:trHeight w:hRule="exact" w:val="283"/>
        </w:trPr>
        <w:tc>
          <w:tcPr>
            <w:tcW w:w="15798" w:type="dxa"/>
            <w:gridSpan w:val="41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надходжень</w:t>
            </w:r>
            <w:proofErr w:type="spellEnd"/>
          </w:p>
        </w:tc>
      </w:tr>
      <w:tr w:rsidR="00DF4C71" w:rsidTr="00426DD9">
        <w:trPr>
          <w:gridAfter w:val="13"/>
          <w:wAfter w:w="6542" w:type="dxa"/>
          <w:trHeight w:hRule="exact" w:val="284"/>
        </w:trPr>
        <w:tc>
          <w:tcPr>
            <w:tcW w:w="1142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04" w:type="dxa"/>
            <w:gridSpan w:val="9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7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10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gridAfter w:val="13"/>
          <w:wAfter w:w="6542" w:type="dxa"/>
          <w:trHeight w:hRule="exact" w:val="530"/>
        </w:trPr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5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gridAfter w:val="13"/>
          <w:wAfter w:w="6542" w:type="dxa"/>
          <w:trHeight w:hRule="exact" w:val="284"/>
        </w:trPr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F4C71" w:rsidTr="00426DD9">
        <w:trPr>
          <w:gridAfter w:val="13"/>
          <w:wAfter w:w="6542" w:type="dxa"/>
          <w:trHeight w:hRule="exact" w:val="291"/>
        </w:trPr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257 129,0</w:t>
            </w:r>
          </w:p>
        </w:tc>
        <w:tc>
          <w:tcPr>
            <w:tcW w:w="2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333 843,6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6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F4C71" w:rsidTr="00426DD9">
        <w:trPr>
          <w:gridAfter w:val="13"/>
          <w:wAfter w:w="6542" w:type="dxa"/>
          <w:trHeight w:hRule="exact" w:val="291"/>
        </w:trPr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255 901,4</w:t>
            </w:r>
          </w:p>
        </w:tc>
        <w:tc>
          <w:tcPr>
            <w:tcW w:w="2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333 843,6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6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F4C71" w:rsidTr="00426DD9">
        <w:trPr>
          <w:gridAfter w:val="13"/>
          <w:wAfter w:w="6542" w:type="dxa"/>
          <w:trHeight w:hRule="exact" w:val="530"/>
        </w:trPr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4C71" w:rsidRDefault="00E653E3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1 227,6</w:t>
            </w:r>
          </w:p>
        </w:tc>
        <w:tc>
          <w:tcPr>
            <w:tcW w:w="2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After w:val="13"/>
          <w:wAfter w:w="6542" w:type="dxa"/>
          <w:trHeight w:hRule="exact" w:val="291"/>
        </w:trPr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1 230,5</w:t>
            </w:r>
          </w:p>
        </w:tc>
        <w:tc>
          <w:tcPr>
            <w:tcW w:w="2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53E3" w:rsidTr="00B54250">
        <w:trPr>
          <w:trHeight w:hRule="exact" w:val="440"/>
        </w:trPr>
        <w:tc>
          <w:tcPr>
            <w:tcW w:w="438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1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4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0" w:type="dxa"/>
            <w:gridSpan w:val="10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5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6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3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530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1" w:name="2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  <w:proofErr w:type="spellEnd"/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3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760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25010300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Плата за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оренду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майна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Закону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оренду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державного та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майна"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530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25010400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установленому</w:t>
            </w:r>
            <w:proofErr w:type="spellEnd"/>
            <w:r w:rsidRPr="00E653E3">
              <w:rPr>
                <w:lang w:val="ru-RU"/>
              </w:rPr>
              <w:br/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порядку майна (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крім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нерухомого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майна)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25020100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Благодійні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дарунки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1 227,5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2,9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періоду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3"/>
        </w:trPr>
        <w:tc>
          <w:tcPr>
            <w:tcW w:w="15686" w:type="dxa"/>
            <w:gridSpan w:val="38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4"/>
        </w:trPr>
        <w:tc>
          <w:tcPr>
            <w:tcW w:w="9465" w:type="dxa"/>
            <w:gridSpan w:val="18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Підстави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обсягів</w:t>
            </w:r>
            <w:proofErr w:type="spellEnd"/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F4C71" w:rsidRDefault="00E653E3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gridSpan w:val="19"/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341"/>
        </w:trPr>
        <w:tc>
          <w:tcPr>
            <w:tcW w:w="15686" w:type="dxa"/>
            <w:gridSpan w:val="38"/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3"/>
        </w:trPr>
        <w:tc>
          <w:tcPr>
            <w:tcW w:w="1147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22" w:type="dxa"/>
            <w:gridSpan w:val="9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RPr="00B54250" w:rsidTr="00426DD9">
        <w:trPr>
          <w:gridBefore w:val="1"/>
          <w:gridAfter w:val="15"/>
          <w:wBefore w:w="10" w:type="dxa"/>
          <w:wAfter w:w="6644" w:type="dxa"/>
          <w:trHeight w:hRule="exact" w:val="283"/>
        </w:trPr>
        <w:tc>
          <w:tcPr>
            <w:tcW w:w="15686" w:type="dxa"/>
            <w:gridSpan w:val="38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кодами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класифікації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бюджету</w:t>
            </w:r>
          </w:p>
        </w:tc>
      </w:tr>
      <w:tr w:rsidR="00DF4C71" w:rsidRPr="00B54250" w:rsidTr="00426DD9">
        <w:trPr>
          <w:gridBefore w:val="1"/>
          <w:gridAfter w:val="15"/>
          <w:wBefore w:w="10" w:type="dxa"/>
          <w:wAfter w:w="6644" w:type="dxa"/>
          <w:trHeight w:hRule="exact" w:val="142"/>
        </w:trPr>
        <w:tc>
          <w:tcPr>
            <w:tcW w:w="1147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022" w:type="dxa"/>
            <w:gridSpan w:val="9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4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4"/>
            <w:vMerge w:val="restart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vMerge w:val="restart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6"/>
            <w:vMerge w:val="restart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10"/>
            <w:vMerge w:val="restart"/>
            <w:tcMar>
              <w:left w:w="34" w:type="dxa"/>
              <w:right w:w="34" w:type="dxa"/>
            </w:tcMar>
            <w:vAlign w:val="bottom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3"/>
        </w:trPr>
        <w:tc>
          <w:tcPr>
            <w:tcW w:w="7198" w:type="dxa"/>
            <w:gridSpan w:val="13"/>
            <w:tcMar>
              <w:left w:w="34" w:type="dxa"/>
              <w:right w:w="34" w:type="dxa"/>
            </w:tcMar>
          </w:tcPr>
          <w:p w:rsidR="00DF4C71" w:rsidRDefault="00E653E3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1670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vMerge/>
            <w:tcMar>
              <w:left w:w="34" w:type="dxa"/>
              <w:right w:w="34" w:type="dxa"/>
            </w:tcMar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vMerge/>
            <w:tcMar>
              <w:left w:w="34" w:type="dxa"/>
              <w:right w:w="34" w:type="dxa"/>
            </w:tcMar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6"/>
            <w:vMerge/>
            <w:tcMar>
              <w:left w:w="34" w:type="dxa"/>
              <w:right w:w="34" w:type="dxa"/>
            </w:tcMar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5" w:type="dxa"/>
            <w:gridSpan w:val="10"/>
            <w:vMerge/>
            <w:tcMar>
              <w:left w:w="34" w:type="dxa"/>
              <w:right w:w="34" w:type="dxa"/>
            </w:tcMar>
            <w:vAlign w:val="bottom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3"/>
        </w:trPr>
        <w:tc>
          <w:tcPr>
            <w:tcW w:w="1147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6" w:type="dxa"/>
            <w:gridSpan w:val="5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3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6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gridSpan w:val="3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" w:type="dxa"/>
            <w:gridSpan w:val="3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530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84"/>
        </w:trPr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205 476,5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205 476,5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300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34 136,6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46 982,1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46 632,1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46 632,1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46 632,1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34 136,6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46 982,1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46 632,1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46 632,1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46 632,1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300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інвентар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4 358,8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4 146,1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3 691,5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3 813,0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3 812,6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4 358,7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4 146,1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3 691,5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3 813,0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3 812,6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300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5 904,1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4 948,4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4 850,2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4 850,2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4 850,2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291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5 904,1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4 948,4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4 850,2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4 850,2</w:t>
            </w: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4 850,2</w:t>
            </w:r>
          </w:p>
        </w:tc>
      </w:tr>
      <w:tr w:rsidR="00DF4C71" w:rsidTr="00426DD9">
        <w:trPr>
          <w:gridBefore w:val="1"/>
          <w:gridAfter w:val="15"/>
          <w:wBefore w:w="10" w:type="dxa"/>
          <w:wAfter w:w="6644" w:type="dxa"/>
          <w:trHeight w:hRule="exact" w:val="300"/>
        </w:trPr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</w:tbl>
    <w:p w:rsidR="00DF4C71" w:rsidRDefault="00DF4C71">
      <w:pPr>
        <w:sectPr w:rsidR="00DF4C71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6028"/>
        <w:gridCol w:w="1701"/>
        <w:gridCol w:w="1711"/>
        <w:gridCol w:w="1702"/>
        <w:gridCol w:w="1702"/>
        <w:gridCol w:w="1702"/>
      </w:tblGrid>
      <w:tr w:rsidR="00DF4C71" w:rsidTr="00426DD9">
        <w:trPr>
          <w:trHeight w:hRule="exact" w:val="53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2" w:name="3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  <w:proofErr w:type="spellEnd"/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trHeight w:hRule="exact" w:val="28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відрядження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енергоносіїв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5 871,4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5 871,4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53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Окремі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регіональних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не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віднесені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заходів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53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Поточні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трансферти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урядам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іноземних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держав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міжнародним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організаціям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1 227,5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RPr="00B54250" w:rsidTr="00426DD9">
        <w:trPr>
          <w:trHeight w:hRule="exact" w:val="291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1 227,5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257 129,0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333 843,6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F4C71" w:rsidTr="00426DD9">
        <w:trPr>
          <w:trHeight w:hRule="exact" w:val="29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255 901,4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333 843,6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F4C71" w:rsidTr="00426DD9">
        <w:trPr>
          <w:trHeight w:hRule="exact"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1 227,6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84"/>
        </w:trPr>
        <w:tc>
          <w:tcPr>
            <w:tcW w:w="15686" w:type="dxa"/>
            <w:gridSpan w:val="7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RPr="00B54250" w:rsidTr="00426DD9">
        <w:trPr>
          <w:trHeight w:hRule="exact" w:val="567"/>
        </w:trPr>
        <w:tc>
          <w:tcPr>
            <w:tcW w:w="15686" w:type="dxa"/>
            <w:gridSpan w:val="7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запропонованих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впливу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досягнення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мети,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F4C71" w:rsidRPr="00B54250" w:rsidTr="00426DD9">
        <w:trPr>
          <w:trHeight w:hRule="exact" w:val="627"/>
        </w:trPr>
        <w:tc>
          <w:tcPr>
            <w:tcW w:w="15686" w:type="dxa"/>
            <w:gridSpan w:val="7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 w:rsidP="00E653E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Граничні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бюджетною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програмою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 2025–2027 роки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зменшено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1 124,9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порівняно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призначеннями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2024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F4C71" w:rsidRPr="00B54250" w:rsidRDefault="00DF4C71">
      <w:pPr>
        <w:rPr>
          <w:lang w:val="ru-RU"/>
        </w:rPr>
        <w:sectPr w:rsidR="00DF4C71" w:rsidRPr="00B54250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284"/>
        <w:gridCol w:w="4656"/>
        <w:gridCol w:w="1096"/>
        <w:gridCol w:w="1703"/>
        <w:gridCol w:w="398"/>
        <w:gridCol w:w="1313"/>
        <w:gridCol w:w="1704"/>
        <w:gridCol w:w="1704"/>
        <w:gridCol w:w="199"/>
        <w:gridCol w:w="1508"/>
      </w:tblGrid>
      <w:tr w:rsidR="00DF4C71" w:rsidRPr="00B54250" w:rsidTr="00E653E3">
        <w:trPr>
          <w:trHeight w:hRule="exact" w:val="1179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 w:rsidP="00E653E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bookmarkStart w:id="3" w:name="4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бюджетною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програмою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пов’язані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недостатнім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обсягом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граничних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2025–2027 роки,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порівняно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2024 роком не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КЕКВ 2630 для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членських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внесків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членом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зокрема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2022–2023 роках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міжнародними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ухвалені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рішення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скасування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членських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внесків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збройною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агресією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DF4C71" w:rsidRPr="00B54250" w:rsidTr="00E653E3">
        <w:trPr>
          <w:trHeight w:hRule="exact" w:val="341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DF4C71" w:rsidRPr="00B54250" w:rsidTr="00E653E3">
        <w:trPr>
          <w:trHeight w:hRule="exact" w:val="284"/>
        </w:trPr>
        <w:tc>
          <w:tcPr>
            <w:tcW w:w="1146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066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DF4C71" w:rsidTr="00E653E3">
        <w:trPr>
          <w:trHeight w:hRule="exact" w:val="284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</w:p>
        </w:tc>
      </w:tr>
      <w:tr w:rsidR="00DF4C71" w:rsidRPr="00B54250" w:rsidTr="00E653E3">
        <w:trPr>
          <w:trHeight w:hRule="exact" w:val="283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6.1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</w:p>
        </w:tc>
      </w:tr>
      <w:tr w:rsidR="00DF4C71" w:rsidTr="00E653E3">
        <w:trPr>
          <w:trHeight w:hRule="exact" w:val="284"/>
        </w:trPr>
        <w:tc>
          <w:tcPr>
            <w:tcW w:w="1146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066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2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E653E3">
        <w:trPr>
          <w:trHeight w:hRule="exact" w:val="53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E653E3">
        <w:trPr>
          <w:trHeight w:hRule="exact" w:val="283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F4C71" w:rsidTr="00E653E3">
        <w:trPr>
          <w:trHeight w:hRule="exact" w:val="530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функцій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Суду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257 100,6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333 678,7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332 675,9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332 675,9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332 675,9</w:t>
            </w: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255 873,0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333 678,7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332 675,9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332 675,9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332 675,9</w:t>
            </w:r>
          </w:p>
        </w:tc>
      </w:tr>
      <w:tr w:rsidR="00DF4C71" w:rsidTr="00E653E3">
        <w:trPr>
          <w:trHeight w:hRule="exact" w:val="300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1 227,6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530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Суду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DF4C71" w:rsidTr="00E653E3">
        <w:trPr>
          <w:trHeight w:hRule="exact" w:val="300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530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членом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є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Конституційний</w:t>
            </w:r>
            <w:proofErr w:type="spellEnd"/>
            <w:r w:rsidRPr="00E653E3">
              <w:rPr>
                <w:lang w:val="ru-RU"/>
              </w:rPr>
              <w:br/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300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257 129,0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333 843,6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255 901,4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333 843,6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F4C71" w:rsidTr="00E653E3">
        <w:trPr>
          <w:trHeight w:hRule="exact" w:val="30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1 227,6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284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RPr="00B54250" w:rsidTr="00E653E3">
        <w:trPr>
          <w:trHeight w:hRule="exact" w:val="567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запропонованих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впливу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результативні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досягнення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мети,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F4C71" w:rsidRPr="00B54250" w:rsidTr="00E653E3">
        <w:trPr>
          <w:trHeight w:hRule="exact" w:val="903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 w:rsidP="00E653E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виконується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трьома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недостатнім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обсягом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граничних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2025–2027 роки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заплановано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членських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внесків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членом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DF4C71" w:rsidRPr="00B54250" w:rsidTr="00E653E3">
        <w:trPr>
          <w:trHeight w:hRule="exact" w:val="341"/>
        </w:trPr>
        <w:tc>
          <w:tcPr>
            <w:tcW w:w="15774" w:type="dxa"/>
            <w:gridSpan w:val="1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потребує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F4C71" w:rsidRPr="00B54250" w:rsidTr="00E653E3">
        <w:trPr>
          <w:trHeight w:hRule="exact" w:val="114"/>
        </w:trPr>
        <w:tc>
          <w:tcPr>
            <w:tcW w:w="1146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79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03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1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8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16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2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2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9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14" w:type="dxa"/>
          </w:tcPr>
          <w:p w:rsidR="00DF4C71" w:rsidRPr="00E653E3" w:rsidRDefault="00DF4C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DF4C71" w:rsidRPr="00426DD9" w:rsidRDefault="00DF4C71">
      <w:pPr>
        <w:rPr>
          <w:lang w:val="ru-RU"/>
        </w:rPr>
        <w:sectPr w:rsidR="00DF4C71" w:rsidRPr="00426DD9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"/>
        <w:gridCol w:w="4623"/>
        <w:gridCol w:w="30"/>
        <w:gridCol w:w="1116"/>
        <w:gridCol w:w="1702"/>
        <w:gridCol w:w="396"/>
        <w:gridCol w:w="1307"/>
        <w:gridCol w:w="1703"/>
        <w:gridCol w:w="1703"/>
        <w:gridCol w:w="197"/>
        <w:gridCol w:w="1505"/>
      </w:tblGrid>
      <w:tr w:rsidR="00DF4C71" w:rsidTr="00E653E3">
        <w:trPr>
          <w:trHeight w:hRule="exact" w:val="284"/>
        </w:trPr>
        <w:tc>
          <w:tcPr>
            <w:tcW w:w="15774" w:type="dxa"/>
            <w:gridSpan w:val="12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bookmarkStart w:id="4" w:name="5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</w:tr>
      <w:tr w:rsidR="00DF4C71" w:rsidTr="00E653E3">
        <w:trPr>
          <w:trHeight w:hRule="exact" w:val="284"/>
        </w:trPr>
        <w:tc>
          <w:tcPr>
            <w:tcW w:w="15774" w:type="dxa"/>
            <w:gridSpan w:val="12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</w:p>
        </w:tc>
      </w:tr>
      <w:tr w:rsidR="00DF4C71" w:rsidTr="00E653E3">
        <w:trPr>
          <w:trHeight w:hRule="exact" w:val="53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E653E3">
        <w:trPr>
          <w:trHeight w:hRule="exact" w:val="283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F4C71" w:rsidTr="00E653E3">
        <w:trPr>
          <w:trHeight w:hRule="exact" w:val="37"/>
        </w:trPr>
        <w:tc>
          <w:tcPr>
            <w:tcW w:w="1146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5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0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0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0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Tr="00E653E3">
        <w:trPr>
          <w:trHeight w:hRule="exact" w:val="31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затрат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судді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F4C71" w:rsidTr="00E653E3">
        <w:trPr>
          <w:trHeight w:hRule="exact" w:val="29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працівники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DF4C71" w:rsidTr="00E653E3">
        <w:trPr>
          <w:trHeight w:hRule="exact" w:val="53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членом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є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trHeight w:hRule="exact" w:val="31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продукту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F4C71" w:rsidTr="00E653E3">
        <w:trPr>
          <w:trHeight w:hRule="exact" w:val="76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засідань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пленарних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засідань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Великої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палати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скарг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</w:tr>
      <w:tr w:rsidR="00DF4C71" w:rsidTr="00E653E3">
        <w:trPr>
          <w:trHeight w:hRule="exact" w:val="76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засідань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пленарних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засідань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сенатів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провадження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справі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</w:tr>
      <w:tr w:rsidR="00DF4C71" w:rsidTr="00E653E3">
        <w:trPr>
          <w:trHeight w:hRule="exact" w:val="76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засідань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колегій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суддів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скарг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DF4C71" w:rsidTr="00E653E3">
        <w:trPr>
          <w:trHeight w:hRule="exact" w:val="12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Ухвалено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висновків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рішень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ухвал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скаргами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конституційними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поданнями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зверненнями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Судом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(Великою палатою,</w:t>
            </w:r>
            <w:r w:rsidRPr="00E653E3">
              <w:rPr>
                <w:lang w:val="ru-RU"/>
              </w:rPr>
              <w:br/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сенатами)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DF4C71" w:rsidTr="00E653E3">
        <w:trPr>
          <w:trHeight w:hRule="exact" w:val="99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Постановлено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ухвал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колегіями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суддів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Конституційного</w:t>
            </w:r>
            <w:proofErr w:type="spellEnd"/>
            <w:r w:rsidRPr="00E653E3">
              <w:rPr>
                <w:lang w:val="ru-RU"/>
              </w:rPr>
              <w:br/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скаргами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поданнями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конституційними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зверненнями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DF4C71" w:rsidTr="00E653E3">
        <w:trPr>
          <w:trHeight w:hRule="exact" w:val="76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членом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є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та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сплачуються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</w:tbl>
    <w:p w:rsidR="00DF4C71" w:rsidRDefault="00DF4C71">
      <w:pPr>
        <w:sectPr w:rsidR="00DF4C71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51"/>
        <w:gridCol w:w="280"/>
        <w:gridCol w:w="3320"/>
        <w:gridCol w:w="922"/>
        <w:gridCol w:w="333"/>
        <w:gridCol w:w="29"/>
        <w:gridCol w:w="298"/>
        <w:gridCol w:w="256"/>
        <w:gridCol w:w="568"/>
        <w:gridCol w:w="352"/>
        <w:gridCol w:w="917"/>
        <w:gridCol w:w="448"/>
        <w:gridCol w:w="392"/>
        <w:gridCol w:w="69"/>
        <w:gridCol w:w="918"/>
        <w:gridCol w:w="338"/>
        <w:gridCol w:w="571"/>
        <w:gridCol w:w="908"/>
        <w:gridCol w:w="227"/>
        <w:gridCol w:w="682"/>
        <w:gridCol w:w="908"/>
        <w:gridCol w:w="114"/>
        <w:gridCol w:w="198"/>
        <w:gridCol w:w="597"/>
        <w:gridCol w:w="916"/>
      </w:tblGrid>
      <w:tr w:rsidR="00DF4C71" w:rsidTr="00426DD9">
        <w:trPr>
          <w:trHeight w:hRule="exact" w:val="291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5" w:name="6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  <w:proofErr w:type="spellEnd"/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DF4C71" w:rsidTr="00426DD9">
        <w:trPr>
          <w:trHeight w:hRule="exact" w:val="316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ефективності</w:t>
            </w:r>
            <w:proofErr w:type="spellEnd"/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F4C71" w:rsidTr="00426DD9">
        <w:trPr>
          <w:trHeight w:hRule="exact" w:val="53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працівника</w:t>
            </w:r>
            <w:proofErr w:type="spellEnd"/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DF4C71" w:rsidTr="00426DD9">
        <w:trPr>
          <w:trHeight w:hRule="exact" w:val="316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якості</w:t>
            </w:r>
            <w:proofErr w:type="spellEnd"/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F4C71" w:rsidTr="00426DD9">
        <w:trPr>
          <w:trHeight w:hRule="exact" w:val="76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зобов'язань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сплати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перед бюджетами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E653E3">
              <w:rPr>
                <w:lang w:val="ru-RU"/>
              </w:rPr>
              <w:br/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членом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є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53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Питома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вага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скарг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розглянутих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законодавством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F4C71" w:rsidTr="00426DD9">
        <w:trPr>
          <w:trHeight w:hRule="exact" w:val="53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Питома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вага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розглянутих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законодавством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F4C71" w:rsidTr="00426DD9">
        <w:trPr>
          <w:trHeight w:hRule="exact" w:val="53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Питома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вага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конституційних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розглянутих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законодавством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F4C71" w:rsidTr="00426DD9">
        <w:trPr>
          <w:trHeight w:hRule="exact" w:val="53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посадах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 w:rsidRPr="00E653E3">
              <w:rPr>
                <w:lang w:val="ru-RU"/>
              </w:rPr>
              <w:br/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„А“ та „Б“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</w:tr>
      <w:tr w:rsidR="00DF4C71" w:rsidTr="00426DD9">
        <w:trPr>
          <w:trHeight w:hRule="exact" w:val="530"/>
        </w:trPr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посадах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служби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„А“ та „Б“</w:t>
            </w:r>
          </w:p>
        </w:tc>
        <w:tc>
          <w:tcPr>
            <w:tcW w:w="1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DF4C71" w:rsidTr="00426DD9">
        <w:trPr>
          <w:trHeight w:hRule="exact" w:val="284"/>
        </w:trPr>
        <w:tc>
          <w:tcPr>
            <w:tcW w:w="15686" w:type="dxa"/>
            <w:gridSpan w:val="26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RPr="00B54250" w:rsidTr="00426DD9">
        <w:trPr>
          <w:trHeight w:hRule="exact" w:val="283"/>
        </w:trPr>
        <w:tc>
          <w:tcPr>
            <w:tcW w:w="15686" w:type="dxa"/>
            <w:gridSpan w:val="26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7.2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динаміки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досягнення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мети,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F4C71" w:rsidRPr="00B54250" w:rsidTr="00426DD9">
        <w:trPr>
          <w:trHeight w:hRule="exact" w:val="1179"/>
        </w:trPr>
        <w:tc>
          <w:tcPr>
            <w:tcW w:w="15686" w:type="dxa"/>
            <w:gridSpan w:val="26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 w:rsidP="00E653E3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інструктивного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листа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фінансів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07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серпня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 року № 04110-08-6/23207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2025–2027 роки та 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огляду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врахування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ґендерних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аспектів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додано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якості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Частка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жінок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посадах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„А“ та „Б“» та «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Частка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чоловіків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посадах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категорій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„А“ та „Б“».</w:t>
            </w:r>
          </w:p>
        </w:tc>
      </w:tr>
      <w:tr w:rsidR="00DF4C71" w:rsidRPr="00B54250" w:rsidTr="00426DD9">
        <w:trPr>
          <w:trHeight w:hRule="exact" w:val="283"/>
        </w:trPr>
        <w:tc>
          <w:tcPr>
            <w:tcW w:w="574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151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gridSpan w:val="4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17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gridSpan w:val="2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Mar>
              <w:left w:w="34" w:type="dxa"/>
              <w:right w:w="34" w:type="dxa"/>
            </w:tcMar>
          </w:tcPr>
          <w:p w:rsidR="00DF4C71" w:rsidRPr="00E653E3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DF4C71" w:rsidTr="00426DD9">
        <w:trPr>
          <w:trHeight w:hRule="exact" w:val="283"/>
        </w:trPr>
        <w:tc>
          <w:tcPr>
            <w:tcW w:w="6009" w:type="dxa"/>
            <w:gridSpan w:val="7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Чисельність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установах</w:t>
            </w:r>
            <w:proofErr w:type="spellEnd"/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F4C71" w:rsidRDefault="00E653E3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gridSpan w:val="7"/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918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16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84"/>
        </w:trPr>
        <w:tc>
          <w:tcPr>
            <w:tcW w:w="574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151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17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  <w:vAlign w:val="bottom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918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8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16" w:type="dxa"/>
            <w:tcMar>
              <w:left w:w="34" w:type="dxa"/>
              <w:right w:w="34" w:type="dxa"/>
            </w:tcMar>
            <w:vAlign w:val="bottom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trHeight w:hRule="exact" w:val="578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1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3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426DD9">
        <w:trPr>
          <w:trHeight w:hRule="exact" w:val="291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9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</w:tr>
      <w:tr w:rsidR="00DF4C71" w:rsidTr="00426DD9">
        <w:trPr>
          <w:trHeight w:hRule="exact" w:val="587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  <w:proofErr w:type="spellEnd"/>
          </w:p>
        </w:tc>
        <w:tc>
          <w:tcPr>
            <w:tcW w:w="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  <w:proofErr w:type="spellEnd"/>
          </w:p>
        </w:tc>
        <w:tc>
          <w:tcPr>
            <w:tcW w:w="9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Tr="00426DD9">
        <w:trPr>
          <w:trHeight w:hRule="exact" w:val="28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F4C71" w:rsidTr="00426DD9">
        <w:trPr>
          <w:trHeight w:hRule="exact" w:val="291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Судді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291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службовці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426DD9">
        <w:trPr>
          <w:trHeight w:hRule="exact" w:val="139"/>
        </w:trPr>
        <w:tc>
          <w:tcPr>
            <w:tcW w:w="574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1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0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1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6" w:type="dxa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F4C71" w:rsidRDefault="00DF4C71">
      <w:pPr>
        <w:sectPr w:rsidR="00DF4C71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15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41"/>
        <w:gridCol w:w="561"/>
        <w:gridCol w:w="151"/>
        <w:gridCol w:w="3489"/>
        <w:gridCol w:w="568"/>
        <w:gridCol w:w="353"/>
        <w:gridCol w:w="277"/>
        <w:gridCol w:w="234"/>
        <w:gridCol w:w="143"/>
        <w:gridCol w:w="266"/>
        <w:gridCol w:w="32"/>
        <w:gridCol w:w="540"/>
        <w:gridCol w:w="349"/>
        <w:gridCol w:w="921"/>
        <w:gridCol w:w="448"/>
        <w:gridCol w:w="29"/>
        <w:gridCol w:w="252"/>
        <w:gridCol w:w="46"/>
        <w:gridCol w:w="143"/>
        <w:gridCol w:w="917"/>
        <w:gridCol w:w="340"/>
        <w:gridCol w:w="574"/>
        <w:gridCol w:w="913"/>
        <w:gridCol w:w="228"/>
        <w:gridCol w:w="686"/>
        <w:gridCol w:w="913"/>
        <w:gridCol w:w="114"/>
        <w:gridCol w:w="40"/>
        <w:gridCol w:w="759"/>
        <w:gridCol w:w="756"/>
        <w:gridCol w:w="88"/>
      </w:tblGrid>
      <w:tr w:rsidR="00DF4C71" w:rsidTr="00E653E3">
        <w:trPr>
          <w:gridAfter w:val="1"/>
          <w:wAfter w:w="88" w:type="dxa"/>
          <w:trHeight w:hRule="exact" w:val="578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6" w:name="7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2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36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4C71" w:rsidTr="00E653E3">
        <w:trPr>
          <w:gridAfter w:val="1"/>
          <w:wAfter w:w="88" w:type="dxa"/>
          <w:trHeight w:hRule="exact" w:val="291"/>
        </w:trPr>
        <w:tc>
          <w:tcPr>
            <w:tcW w:w="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9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9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E653E3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  <w:proofErr w:type="spellEnd"/>
          </w:p>
          <w:p w:rsidR="00DF4C71" w:rsidRDefault="00E653E3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  <w:proofErr w:type="spellEnd"/>
          </w:p>
        </w:tc>
      </w:tr>
      <w:tr w:rsidR="00DF4C71" w:rsidTr="00E653E3">
        <w:trPr>
          <w:gridAfter w:val="1"/>
          <w:wAfter w:w="88" w:type="dxa"/>
          <w:trHeight w:hRule="exact" w:val="587"/>
        </w:trPr>
        <w:tc>
          <w:tcPr>
            <w:tcW w:w="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  <w:proofErr w:type="spellEnd"/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  <w:proofErr w:type="spellEnd"/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  <w:proofErr w:type="spellEnd"/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  <w:proofErr w:type="spellEnd"/>
          </w:p>
        </w:tc>
        <w:tc>
          <w:tcPr>
            <w:tcW w:w="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F4C71" w:rsidTr="00E653E3">
        <w:trPr>
          <w:gridAfter w:val="1"/>
          <w:wAfter w:w="88" w:type="dxa"/>
          <w:trHeight w:hRule="exact" w:val="291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патронатної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служби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5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виконують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функції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обслуговування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91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53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з них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працівники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оплата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праці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також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фонду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1137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53" w:type="dxa"/>
            <w:gridSpan w:val="10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6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4"/>
        </w:trPr>
        <w:tc>
          <w:tcPr>
            <w:tcW w:w="8937" w:type="dxa"/>
            <w:gridSpan w:val="17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цільові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виконуються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DF4C71" w:rsidRDefault="00E653E3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gridSpan w:val="12"/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435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5"/>
            <w:tcMar>
              <w:left w:w="34" w:type="dxa"/>
              <w:right w:w="34" w:type="dxa"/>
            </w:tcMar>
          </w:tcPr>
          <w:p w:rsidR="00DF4C71" w:rsidRDefault="00E653E3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заповненню</w:t>
            </w:r>
            <w:proofErr w:type="spellEnd"/>
          </w:p>
        </w:tc>
        <w:tc>
          <w:tcPr>
            <w:tcW w:w="1845" w:type="dxa"/>
            <w:gridSpan w:val="7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6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15618" w:type="dxa"/>
            <w:gridSpan w:val="31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6352" w:type="dxa"/>
            <w:gridSpan w:val="10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огляд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DF4C71" w:rsidRDefault="00E653E3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gridSpan w:val="19"/>
            <w:tcMar>
              <w:left w:w="34" w:type="dxa"/>
              <w:right w:w="34" w:type="dxa"/>
            </w:tcMar>
            <w:vAlign w:val="center"/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4"/>
        </w:trPr>
        <w:tc>
          <w:tcPr>
            <w:tcW w:w="435" w:type="dxa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74" w:type="dxa"/>
            <w:gridSpan w:val="8"/>
            <w:tcMar>
              <w:left w:w="34" w:type="dxa"/>
              <w:right w:w="34" w:type="dxa"/>
            </w:tcMar>
          </w:tcPr>
          <w:p w:rsidR="00DF4C71" w:rsidRDefault="00E653E3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заповненню</w:t>
            </w:r>
            <w:proofErr w:type="spellEnd"/>
          </w:p>
        </w:tc>
        <w:tc>
          <w:tcPr>
            <w:tcW w:w="9409" w:type="dxa"/>
            <w:gridSpan w:val="2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15618" w:type="dxa"/>
            <w:gridSpan w:val="31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4C71" w:rsidTr="00E653E3">
        <w:trPr>
          <w:gridAfter w:val="1"/>
          <w:wAfter w:w="88" w:type="dxa"/>
          <w:trHeight w:hRule="exact" w:val="283"/>
        </w:trPr>
        <w:tc>
          <w:tcPr>
            <w:tcW w:w="15618" w:type="dxa"/>
            <w:gridSpan w:val="31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</w:tr>
      <w:tr w:rsidR="00DF4C71" w:rsidTr="00E653E3">
        <w:trPr>
          <w:gridAfter w:val="1"/>
          <w:wAfter w:w="88" w:type="dxa"/>
          <w:trHeight w:hRule="exact" w:val="341"/>
        </w:trPr>
        <w:tc>
          <w:tcPr>
            <w:tcW w:w="15618" w:type="dxa"/>
            <w:gridSpan w:val="31"/>
            <w:tcMar>
              <w:left w:w="34" w:type="dxa"/>
              <w:right w:w="34" w:type="dxa"/>
            </w:tcMar>
            <w:vAlign w:val="center"/>
          </w:tcPr>
          <w:p w:rsidR="00DF4C71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DF4C71" w:rsidRPr="00B54250" w:rsidTr="00E653E3">
        <w:trPr>
          <w:gridAfter w:val="1"/>
          <w:wAfter w:w="88" w:type="dxa"/>
          <w:trHeight w:hRule="exact" w:val="341"/>
        </w:trPr>
        <w:tc>
          <w:tcPr>
            <w:tcW w:w="15618" w:type="dxa"/>
            <w:gridSpan w:val="31"/>
            <w:tcMar>
              <w:left w:w="34" w:type="dxa"/>
              <w:right w:w="34" w:type="dxa"/>
            </w:tcMar>
            <w:vAlign w:val="center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Закон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Конституційний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DF4C71" w:rsidRPr="00B54250" w:rsidTr="00E653E3">
        <w:trPr>
          <w:trHeight w:hRule="exact" w:val="284"/>
        </w:trPr>
        <w:tc>
          <w:tcPr>
            <w:tcW w:w="1288" w:type="dxa"/>
            <w:gridSpan w:val="4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bookmarkStart w:id="7" w:name="8"/>
            <w:bookmarkEnd w:id="7"/>
          </w:p>
        </w:tc>
        <w:tc>
          <w:tcPr>
            <w:tcW w:w="4687" w:type="dxa"/>
            <w:gridSpan w:val="4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4" w:type="dxa"/>
            <w:gridSpan w:val="10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4" w:type="dxa"/>
            <w:gridSpan w:val="11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gridSpan w:val="2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88" w:type="dxa"/>
            <w:vMerge w:val="restart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DF4C71" w:rsidTr="00B54250">
        <w:trPr>
          <w:trHeight w:hRule="exact" w:val="607"/>
        </w:trPr>
        <w:tc>
          <w:tcPr>
            <w:tcW w:w="1288" w:type="dxa"/>
            <w:gridSpan w:val="4"/>
            <w:tcMar>
              <w:left w:w="34" w:type="dxa"/>
              <w:right w:w="34" w:type="dxa"/>
            </w:tcMar>
          </w:tcPr>
          <w:p w:rsidR="00DF4C71" w:rsidRPr="00426DD9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87" w:type="dxa"/>
            <w:gridSpan w:val="4"/>
            <w:tcMar>
              <w:left w:w="34" w:type="dxa"/>
              <w:right w:w="34" w:type="dxa"/>
            </w:tcMar>
            <w:vAlign w:val="bottom"/>
          </w:tcPr>
          <w:p w:rsidR="00DF4C71" w:rsidRPr="00E653E3" w:rsidRDefault="00E653E3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Виконувач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обов'язків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Голови</w:t>
            </w:r>
            <w:proofErr w:type="spellEnd"/>
            <w:r w:rsidRPr="00E653E3">
              <w:rPr>
                <w:lang w:val="ru-RU"/>
              </w:rPr>
              <w:br/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Конституційного</w:t>
            </w:r>
            <w:proofErr w:type="spellEnd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E6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3214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F4C71" w:rsidRPr="00E653E3" w:rsidRDefault="00DF4C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14" w:type="dxa"/>
            <w:gridSpan w:val="11"/>
            <w:tcMar>
              <w:left w:w="34" w:type="dxa"/>
              <w:right w:w="34" w:type="dxa"/>
            </w:tcMar>
            <w:vAlign w:val="bottom"/>
          </w:tcPr>
          <w:p w:rsidR="00DF4C71" w:rsidRPr="00E653E3" w:rsidRDefault="00E653E3">
            <w:pPr>
              <w:spacing w:before="15" w:after="15" w:line="238" w:lineRule="auto"/>
              <w:ind w:left="30" w:right="30"/>
              <w:jc w:val="center"/>
              <w:rPr>
                <w:b/>
                <w:sz w:val="24"/>
                <w:szCs w:val="24"/>
              </w:rPr>
            </w:pPr>
            <w:r w:rsidRPr="00E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Віктор КРИВЕНКО</w:t>
            </w:r>
          </w:p>
        </w:tc>
        <w:tc>
          <w:tcPr>
            <w:tcW w:w="1515" w:type="dxa"/>
            <w:gridSpan w:val="2"/>
            <w:tcMar>
              <w:left w:w="34" w:type="dxa"/>
              <w:right w:w="34" w:type="dxa"/>
            </w:tcMar>
          </w:tcPr>
          <w:p w:rsidR="00DF4C71" w:rsidRDefault="00DF4C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8" w:type="dxa"/>
            <w:vMerge/>
            <w:tcMar>
              <w:left w:w="34" w:type="dxa"/>
              <w:right w:w="34" w:type="dxa"/>
            </w:tcMar>
          </w:tcPr>
          <w:p w:rsidR="00DF4C71" w:rsidRDefault="00DF4C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F4C71" w:rsidRDefault="00DF4C71">
      <w:bookmarkStart w:id="8" w:name="_GoBack"/>
      <w:bookmarkEnd w:id="8"/>
    </w:p>
    <w:sectPr w:rsidR="00DF4C71">
      <w:pgSz w:w="16840" w:h="11907" w:orient="landscape"/>
      <w:pgMar w:top="106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1F17B6"/>
    <w:rsid w:val="00426DD9"/>
    <w:rsid w:val="00B54250"/>
    <w:rsid w:val="00D31453"/>
    <w:rsid w:val="00DF4C71"/>
    <w:rsid w:val="00E209E2"/>
    <w:rsid w:val="00E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81484"/>
  <w15:docId w15:val="{3CA10EBE-46D7-4290-ABBD-2E02230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7575</Words>
  <Characters>4319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esop_forms_n207_bz2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esop_forms_n207_bz2</dc:title>
  <dc:creator>FastReport.NET</dc:creator>
  <cp:lastModifiedBy>Юлія О. Рара</cp:lastModifiedBy>
  <cp:revision>6</cp:revision>
  <dcterms:created xsi:type="dcterms:W3CDTF">2024-08-16T08:41:00Z</dcterms:created>
  <dcterms:modified xsi:type="dcterms:W3CDTF">2024-08-19T05:09:00Z</dcterms:modified>
</cp:coreProperties>
</file>